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sz w:val="32"/>
          <w:szCs w:val="32"/>
        </w:rPr>
      </w:pPr>
      <w:r>
        <w:rPr>
          <w:rFonts w:hint="eastAsia" w:ascii="仿宋_GB2312" w:eastAsia="仿宋_GB2312"/>
          <w:sz w:val="32"/>
          <w:szCs w:val="32"/>
        </w:rPr>
        <w:t xml:space="preserve">附件2：    </w:t>
      </w:r>
    </w:p>
    <w:p>
      <w:pPr>
        <w:spacing w:line="510" w:lineRule="exact"/>
        <w:ind w:firstLine="600" w:firstLineChars="200"/>
        <w:jc w:val="center"/>
        <w:rPr>
          <w:rFonts w:hint="eastAsia" w:ascii="仿宋_GB2312" w:hAnsi="仿宋_GB2312" w:eastAsia="仿宋_GB2312" w:cs="仿宋_GB2312"/>
          <w:b/>
          <w:bCs/>
          <w:sz w:val="32"/>
          <w:szCs w:val="32"/>
        </w:rPr>
      </w:pPr>
      <w:bookmarkStart w:id="0" w:name="_GoBack"/>
      <w:r>
        <w:rPr>
          <w:rFonts w:hint="eastAsia" w:ascii="仿宋_GB2312" w:hAnsi="仿宋_GB2312" w:eastAsia="仿宋_GB2312" w:cs="仿宋_GB2312"/>
          <w:b/>
          <w:bCs/>
          <w:sz w:val="32"/>
          <w:szCs w:val="32"/>
        </w:rPr>
        <w:t>2016年美国连锁药店协会药店博览会日程安排</w:t>
      </w:r>
      <w:bookmarkEnd w:id="0"/>
    </w:p>
    <w:p>
      <w:pPr>
        <w:jc w:val="center"/>
        <w:rPr>
          <w:rFonts w:hint="eastAsia" w:ascii="宋体" w:hAnsi="宋体" w:eastAsia="宋体" w:cs="宋体"/>
          <w:sz w:val="30"/>
          <w:szCs w:val="30"/>
        </w:rPr>
      </w:pPr>
      <w:r>
        <w:rPr>
          <w:rFonts w:hint="eastAsia" w:ascii="仿宋_GB2312" w:hAnsi="仿宋_GB2312" w:eastAsia="仿宋_GB2312" w:cs="仿宋_GB2312"/>
          <w:sz w:val="30"/>
          <w:szCs w:val="30"/>
        </w:rPr>
        <w:t>2016年8月6-9日 美国马萨诸塞州波士顿市</w:t>
      </w:r>
    </w:p>
    <w:p>
      <w:pP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2016年8月5日/周五</w:t>
      </w:r>
    </w:p>
    <w:p>
      <w:pPr>
        <w:rPr>
          <w:rFonts w:hint="eastAsia" w:ascii="宋体" w:hAnsi="宋体" w:eastAsia="宋体" w:cs="宋体"/>
          <w:sz w:val="30"/>
          <w:szCs w:val="30"/>
        </w:rPr>
      </w:pPr>
      <w:r>
        <w:rPr>
          <w:rFonts w:hint="eastAsia" w:ascii="仿宋_GB2312" w:hAnsi="仿宋_GB2312" w:eastAsia="仿宋_GB2312" w:cs="仿宋_GB2312"/>
          <w:sz w:val="30"/>
          <w:szCs w:val="30"/>
          <w:lang w:eastAsia="zh-CN"/>
        </w:rPr>
        <w:t>全天报到、参展商布展</w:t>
      </w:r>
    </w:p>
    <w:p>
      <w:pP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2016年8月6日/周六</w:t>
      </w:r>
    </w:p>
    <w:p>
      <w:pPr>
        <w:rPr>
          <w:rFonts w:hint="eastAsia" w:ascii="宋体" w:hAnsi="宋体" w:eastAsia="宋体" w:cs="宋体"/>
          <w:b/>
          <w:i w:val="0"/>
          <w:caps w:val="0"/>
          <w:color w:val="000000"/>
          <w:spacing w:val="0"/>
          <w:kern w:val="0"/>
          <w:sz w:val="30"/>
          <w:szCs w:val="30"/>
          <w:lang w:val="en-US" w:eastAsia="zh-CN" w:bidi="ar"/>
        </w:rPr>
      </w:pPr>
      <w:r>
        <w:rPr>
          <w:rFonts w:hint="eastAsia" w:ascii="仿宋_GB2312" w:hAnsi="仿宋_GB2312" w:eastAsia="仿宋_GB2312" w:cs="仿宋_GB2312"/>
          <w:sz w:val="30"/>
          <w:szCs w:val="30"/>
          <w:lang w:val="en-US" w:eastAsia="zh-CN"/>
        </w:rPr>
        <w:t> 注册</w:t>
      </w:r>
    </w:p>
    <w:p>
      <w:pP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2016年8月7日/周日</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展览</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 主题演讲</w:t>
      </w:r>
    </w:p>
    <w:p>
      <w:pPr>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10:00 AM - 11:00 AM</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1.创新还是新颖：零售商和供应商如何合作发布新品？</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业界一直有种说法：新品是零售业的命脉。这种说法今天仍然能够在事实中应验吗？新品与创新产品的差异何在？这种差异如何影响合作伙伴合力将这些单品推向市场？本次分会将探讨这些问题，为零售商和供应商提供一个框架考虑如何将产品推向市场？</w:t>
      </w:r>
    </w:p>
    <w:p>
      <w:pPr>
        <w:pStyle w:val="4"/>
        <w:keepNext w:val="0"/>
        <w:keepLines w:val="0"/>
        <w:widowControl/>
        <w:suppressLineNumbers w:val="0"/>
        <w:spacing w:before="0" w:beforeAutospacing="0" w:after="0" w:afterAutospacing="0" w:line="324" w:lineRule="atLeast"/>
        <w:ind w:left="0" w:right="0"/>
        <w:rPr>
          <w:rFonts w:hint="eastAsia" w:ascii="宋体" w:hAnsi="宋体" w:eastAsia="宋体" w:cs="宋体"/>
          <w:sz w:val="30"/>
          <w:szCs w:val="30"/>
        </w:rPr>
      </w:pPr>
    </w:p>
    <w:p>
      <w:pPr>
        <w:pStyle w:val="4"/>
        <w:keepNext w:val="0"/>
        <w:keepLines w:val="0"/>
        <w:widowControl/>
        <w:suppressLineNumbers w:val="0"/>
        <w:spacing w:before="0" w:beforeAutospacing="0" w:after="0" w:afterAutospacing="0" w:line="324" w:lineRule="atLeast"/>
        <w:ind w:left="0" w:right="0"/>
        <w:rPr>
          <w:rFonts w:hint="eastAsia" w:ascii="宋体" w:hAnsi="宋体" w:eastAsia="宋体" w:cs="宋体"/>
          <w:sz w:val="30"/>
          <w:szCs w:val="30"/>
        </w:rPr>
      </w:pPr>
    </w:p>
    <w:p>
      <w:pPr>
        <w:pStyle w:val="4"/>
        <w:keepNext w:val="0"/>
        <w:keepLines w:val="0"/>
        <w:widowControl/>
        <w:suppressLineNumbers w:val="0"/>
        <w:spacing w:before="0" w:beforeAutospacing="0" w:after="0" w:afterAutospacing="0" w:line="324" w:lineRule="atLeast"/>
        <w:ind w:left="0" w:right="0"/>
        <w:rPr>
          <w:rFonts w:hint="eastAsia" w:ascii="宋体" w:hAnsi="宋体" w:eastAsia="宋体" w:cs="宋体"/>
          <w:sz w:val="30"/>
          <w:szCs w:val="30"/>
        </w:rPr>
      </w:pP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2.用数字化取胜</w:t>
      </w:r>
    </w:p>
    <w:p>
      <w:pPr>
        <w:pStyle w:val="4"/>
        <w:keepNext w:val="0"/>
        <w:keepLines w:val="0"/>
        <w:widowControl/>
        <w:numPr>
          <w:ilvl w:val="0"/>
          <w:numId w:val="0"/>
        </w:numPr>
        <w:suppressLineNumbers w:val="0"/>
        <w:spacing w:before="0" w:beforeAutospacing="0" w:after="105" w:afterAutospacing="0" w:line="52" w:lineRule="atLeast"/>
        <w:ind w:right="0" w:rightChars="0"/>
        <w:rPr>
          <w:rFonts w:hint="eastAsia" w:ascii="宋体" w:hAnsi="宋体" w:eastAsia="宋体" w:cs="宋体"/>
          <w:sz w:val="30"/>
          <w:szCs w:val="30"/>
        </w:rPr>
      </w:pPr>
      <w:r>
        <w:rPr>
          <w:rFonts w:hint="eastAsia" w:ascii="宋体" w:hAnsi="宋体" w:eastAsia="宋体" w:cs="宋体"/>
          <w:sz w:val="30"/>
          <w:szCs w:val="30"/>
        </w:rPr>
        <w:drawing>
          <wp:inline distT="0" distB="0" distL="114300" distR="114300">
            <wp:extent cx="1828800" cy="1371600"/>
            <wp:effectExtent l="0" t="0" r="0" b="0"/>
            <wp:docPr id="6"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3"/>
                    <pic:cNvPicPr>
                      <a:picLocks noChangeAspect="1"/>
                    </pic:cNvPicPr>
                  </pic:nvPicPr>
                  <pic:blipFill>
                    <a:blip r:embed="rId7"/>
                    <a:stretch>
                      <a:fillRect/>
                    </a:stretch>
                  </pic:blipFill>
                  <pic:spPr>
                    <a:xfrm>
                      <a:off x="0" y="0"/>
                      <a:ext cx="1828800" cy="1371600"/>
                    </a:xfrm>
                    <a:prstGeom prst="rect">
                      <a:avLst/>
                    </a:prstGeom>
                    <a:noFill/>
                    <a:ln w="9525">
                      <a:noFill/>
                      <a:miter/>
                    </a:ln>
                    <a:effectLst/>
                  </pic:spPr>
                </pic:pic>
              </a:graphicData>
            </a:graphic>
          </wp:inline>
        </w:drawing>
      </w:r>
      <w:r>
        <w:rPr>
          <w:rFonts w:hint="eastAsia" w:ascii="宋体" w:hAnsi="宋体" w:eastAsia="宋体" w:cs="宋体"/>
          <w:sz w:val="30"/>
          <w:szCs w:val="30"/>
        </w:rPr>
        <mc:AlternateContent>
          <mc:Choice Requires="wps">
            <w:drawing>
              <wp:anchor distT="0" distB="0" distL="114300" distR="114300" simplePos="0" relativeHeight="251660288" behindDoc="0" locked="0" layoutInCell="1" allowOverlap="1">
                <wp:simplePos x="0" y="0"/>
                <wp:positionH relativeFrom="column">
                  <wp:posOffset>2446655</wp:posOffset>
                </wp:positionH>
                <wp:positionV relativeFrom="paragraph">
                  <wp:posOffset>205105</wp:posOffset>
                </wp:positionV>
                <wp:extent cx="2371725" cy="1133475"/>
                <wp:effectExtent l="0" t="0" r="9525" b="9525"/>
                <wp:wrapNone/>
                <wp:docPr id="3" name="文本框 3"/>
                <wp:cNvGraphicFramePr/>
                <a:graphic xmlns:a="http://schemas.openxmlformats.org/drawingml/2006/main">
                  <a:graphicData uri="http://schemas.microsoft.com/office/word/2010/wordprocessingShape">
                    <wps:wsp>
                      <wps:cNvSpPr txBox="1"/>
                      <wps:spPr>
                        <a:xfrm>
                          <a:off x="3408680" y="5449570"/>
                          <a:ext cx="2371725" cy="1133475"/>
                        </a:xfrm>
                        <a:prstGeom prst="rect">
                          <a:avLst/>
                        </a:prstGeom>
                        <a:solidFill>
                          <a:srgbClr val="FFFFFF"/>
                        </a:solidFill>
                        <a:ln w="6350">
                          <a:noFill/>
                        </a:ln>
                        <a:effectLst/>
                      </wps:spPr>
                      <wps:txbx>
                        <w:txbxContent>
                          <w:p>
                            <w:pPr>
                              <w:pStyle w:val="4"/>
                              <w:keepNext w:val="0"/>
                              <w:keepLines w:val="0"/>
                              <w:widowControl/>
                              <w:suppressLineNumbers w:val="0"/>
                              <w:spacing w:before="0" w:beforeAutospacing="0" w:after="0" w:afterAutospacing="0" w:line="324" w:lineRule="atLeast"/>
                              <w:ind w:right="0"/>
                              <w:jc w:val="both"/>
                              <w:rPr>
                                <w:rFonts w:hint="eastAsia" w:ascii="仿宋_GB2312" w:hAnsi="仿宋_GB2312" w:eastAsia="仿宋_GB2312" w:cs="仿宋_GB2312"/>
                                <w:sz w:val="24"/>
                                <w:szCs w:val="24"/>
                              </w:rPr>
                            </w:pPr>
                            <w:r>
                              <w:rPr>
                                <w:rFonts w:hint="eastAsia" w:ascii="仿宋_GB2312" w:hAnsi="仿宋_GB2312" w:eastAsia="仿宋_GB2312" w:cs="仿宋_GB2312"/>
                                <w:b w:val="0"/>
                                <w:i w:val="0"/>
                                <w:caps w:val="0"/>
                                <w:color w:val="000000"/>
                                <w:spacing w:val="0"/>
                                <w:sz w:val="24"/>
                                <w:szCs w:val="24"/>
                              </w:rPr>
                              <w:t>TODD HUSEBY</w:t>
                            </w:r>
                          </w:p>
                          <w:p>
                            <w:pPr>
                              <w:pStyle w:val="4"/>
                              <w:keepNext w:val="0"/>
                              <w:keepLines w:val="0"/>
                              <w:widowControl/>
                              <w:suppressLineNumbers w:val="0"/>
                              <w:spacing w:before="0" w:beforeAutospacing="0" w:after="0" w:afterAutospacing="0" w:line="324" w:lineRule="atLeast"/>
                              <w:ind w:right="0"/>
                              <w:jc w:val="both"/>
                              <w:rPr>
                                <w:rFonts w:hint="eastAsia" w:ascii="仿宋_GB2312" w:hAnsi="仿宋_GB2312" w:eastAsia="仿宋_GB2312" w:cs="仿宋_GB2312"/>
                                <w:b w:val="0"/>
                                <w:i w:val="0"/>
                                <w:caps w:val="0"/>
                                <w:color w:val="000000"/>
                                <w:spacing w:val="0"/>
                                <w:sz w:val="24"/>
                                <w:szCs w:val="24"/>
                                <w:lang w:eastAsia="zh-CN"/>
                              </w:rPr>
                            </w:pPr>
                          </w:p>
                          <w:p>
                            <w:pPr>
                              <w:pStyle w:val="4"/>
                              <w:keepNext w:val="0"/>
                              <w:keepLines w:val="0"/>
                              <w:widowControl/>
                              <w:suppressLineNumbers w:val="0"/>
                              <w:spacing w:before="0" w:beforeAutospacing="0" w:after="0" w:afterAutospacing="0" w:line="324" w:lineRule="atLeast"/>
                              <w:ind w:right="0"/>
                              <w:jc w:val="both"/>
                              <w:rPr>
                                <w:rFonts w:hint="eastAsia" w:ascii="仿宋_GB2312" w:hAnsi="仿宋_GB2312" w:eastAsia="仿宋_GB2312" w:cs="仿宋_GB2312"/>
                                <w:b w:val="0"/>
                                <w:i w:val="0"/>
                                <w:caps w:val="0"/>
                                <w:color w:val="000000"/>
                                <w:spacing w:val="0"/>
                                <w:sz w:val="24"/>
                                <w:szCs w:val="24"/>
                                <w:lang w:eastAsia="zh-CN"/>
                              </w:rPr>
                            </w:pPr>
                            <w:r>
                              <w:rPr>
                                <w:rFonts w:hint="eastAsia" w:ascii="仿宋_GB2312" w:hAnsi="仿宋_GB2312" w:eastAsia="仿宋_GB2312" w:cs="仿宋_GB2312"/>
                                <w:b w:val="0"/>
                                <w:i w:val="0"/>
                                <w:caps w:val="0"/>
                                <w:color w:val="000000"/>
                                <w:spacing w:val="0"/>
                                <w:sz w:val="24"/>
                                <w:szCs w:val="24"/>
                                <w:lang w:eastAsia="zh-CN"/>
                              </w:rPr>
                              <w:t>合伙人</w:t>
                            </w:r>
                          </w:p>
                          <w:p>
                            <w:pPr>
                              <w:rPr>
                                <w:rFonts w:hint="eastAsia" w:ascii="仿宋_GB2312" w:hAnsi="仿宋_GB2312" w:eastAsia="仿宋_GB2312" w:cs="仿宋_GB2312"/>
                                <w:b w:val="0"/>
                                <w:i w:val="0"/>
                                <w:caps w:val="0"/>
                                <w:color w:val="000000"/>
                                <w:spacing w:val="0"/>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b w:val="0"/>
                                <w:i w:val="0"/>
                                <w:caps w:val="0"/>
                                <w:color w:val="000000"/>
                                <w:spacing w:val="0"/>
                                <w:sz w:val="24"/>
                                <w:szCs w:val="24"/>
                              </w:rPr>
                              <w:t>AT Kearney公司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65pt;margin-top:16.15pt;height:89.25pt;width:186.75pt;z-index:251660288;mso-width-relative:page;mso-height-relative:page;" fillcolor="#FFFFFF" filled="t" stroked="f" coordsize="21600,21600" o:gfxdata="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iKRA21gAAAAoBAAAPAAAAAAAAAAEAIAAA&#10;ACIAAABkcnMvZG93bnJldi54bWxQSwECFAAUAAAACACHTuJAVhX3+kcCAABcBAAADgAAAAAAAAAB&#10;ACAAAAAlAQAAZHJzL2Uyb0RvYy54bWxQSwUGAAAAAAYABgBZAQAA3gUAAAAA&#10;">
                <v:fill on="t" focussize="0,0"/>
                <v:stroke on="f" weight="0.5pt"/>
                <v:imagedata o:title=""/>
                <o:lock v:ext="edit" aspectratio="f"/>
                <v:textbox>
                  <w:txbxContent>
                    <w:p>
                      <w:pPr>
                        <w:pStyle w:val="4"/>
                        <w:keepNext w:val="0"/>
                        <w:keepLines w:val="0"/>
                        <w:widowControl/>
                        <w:suppressLineNumbers w:val="0"/>
                        <w:spacing w:before="0" w:beforeAutospacing="0" w:after="0" w:afterAutospacing="0" w:line="324" w:lineRule="atLeast"/>
                        <w:ind w:right="0"/>
                        <w:jc w:val="both"/>
                        <w:rPr>
                          <w:rFonts w:hint="eastAsia" w:ascii="仿宋_GB2312" w:hAnsi="仿宋_GB2312" w:eastAsia="仿宋_GB2312" w:cs="仿宋_GB2312"/>
                          <w:sz w:val="24"/>
                          <w:szCs w:val="24"/>
                        </w:rPr>
                      </w:pPr>
                      <w:r>
                        <w:rPr>
                          <w:rFonts w:hint="eastAsia" w:ascii="仿宋_GB2312" w:hAnsi="仿宋_GB2312" w:eastAsia="仿宋_GB2312" w:cs="仿宋_GB2312"/>
                          <w:b w:val="0"/>
                          <w:i w:val="0"/>
                          <w:caps w:val="0"/>
                          <w:color w:val="000000"/>
                          <w:spacing w:val="0"/>
                          <w:sz w:val="24"/>
                          <w:szCs w:val="24"/>
                        </w:rPr>
                        <w:t>TODD HUSEBY</w:t>
                      </w:r>
                    </w:p>
                    <w:p>
                      <w:pPr>
                        <w:pStyle w:val="4"/>
                        <w:keepNext w:val="0"/>
                        <w:keepLines w:val="0"/>
                        <w:widowControl/>
                        <w:suppressLineNumbers w:val="0"/>
                        <w:spacing w:before="0" w:beforeAutospacing="0" w:after="0" w:afterAutospacing="0" w:line="324" w:lineRule="atLeast"/>
                        <w:ind w:right="0"/>
                        <w:jc w:val="both"/>
                        <w:rPr>
                          <w:rFonts w:hint="eastAsia" w:ascii="仿宋_GB2312" w:hAnsi="仿宋_GB2312" w:eastAsia="仿宋_GB2312" w:cs="仿宋_GB2312"/>
                          <w:b w:val="0"/>
                          <w:i w:val="0"/>
                          <w:caps w:val="0"/>
                          <w:color w:val="000000"/>
                          <w:spacing w:val="0"/>
                          <w:sz w:val="24"/>
                          <w:szCs w:val="24"/>
                          <w:lang w:eastAsia="zh-CN"/>
                        </w:rPr>
                      </w:pPr>
                    </w:p>
                    <w:p>
                      <w:pPr>
                        <w:pStyle w:val="4"/>
                        <w:keepNext w:val="0"/>
                        <w:keepLines w:val="0"/>
                        <w:widowControl/>
                        <w:suppressLineNumbers w:val="0"/>
                        <w:spacing w:before="0" w:beforeAutospacing="0" w:after="0" w:afterAutospacing="0" w:line="324" w:lineRule="atLeast"/>
                        <w:ind w:right="0"/>
                        <w:jc w:val="both"/>
                        <w:rPr>
                          <w:rFonts w:hint="eastAsia" w:ascii="仿宋_GB2312" w:hAnsi="仿宋_GB2312" w:eastAsia="仿宋_GB2312" w:cs="仿宋_GB2312"/>
                          <w:b w:val="0"/>
                          <w:i w:val="0"/>
                          <w:caps w:val="0"/>
                          <w:color w:val="000000"/>
                          <w:spacing w:val="0"/>
                          <w:sz w:val="24"/>
                          <w:szCs w:val="24"/>
                          <w:lang w:eastAsia="zh-CN"/>
                        </w:rPr>
                      </w:pPr>
                      <w:r>
                        <w:rPr>
                          <w:rFonts w:hint="eastAsia" w:ascii="仿宋_GB2312" w:hAnsi="仿宋_GB2312" w:eastAsia="仿宋_GB2312" w:cs="仿宋_GB2312"/>
                          <w:b w:val="0"/>
                          <w:i w:val="0"/>
                          <w:caps w:val="0"/>
                          <w:color w:val="000000"/>
                          <w:spacing w:val="0"/>
                          <w:sz w:val="24"/>
                          <w:szCs w:val="24"/>
                          <w:lang w:eastAsia="zh-CN"/>
                        </w:rPr>
                        <w:t>合伙人</w:t>
                      </w:r>
                    </w:p>
                    <w:p>
                      <w:pPr>
                        <w:rPr>
                          <w:rFonts w:hint="eastAsia" w:ascii="仿宋_GB2312" w:hAnsi="仿宋_GB2312" w:eastAsia="仿宋_GB2312" w:cs="仿宋_GB2312"/>
                          <w:b w:val="0"/>
                          <w:i w:val="0"/>
                          <w:caps w:val="0"/>
                          <w:color w:val="000000"/>
                          <w:spacing w:val="0"/>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b w:val="0"/>
                          <w:i w:val="0"/>
                          <w:caps w:val="0"/>
                          <w:color w:val="000000"/>
                          <w:spacing w:val="0"/>
                          <w:sz w:val="24"/>
                          <w:szCs w:val="24"/>
                        </w:rPr>
                        <w:t>AT Kearney公司</w:t>
                      </w:r>
                    </w:p>
                  </w:txbxContent>
                </v:textbox>
              </v:shape>
            </w:pict>
          </mc:Fallback>
        </mc:AlternateConten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Todd Huseby 是AT Kearney公司的合伙人，该公司是一家全球管理咨询公司，1926年成立，在四十多个国家有59个办公室服务客户。Todd在战略，技术，IT驱动商业转型和运营咨询方面有18年经验，重点咨询领域为零售，医疗,消费包装产品。</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这些项目包括为业内零售商巨头规划超过10亿美元库存快速改善项目。其它项目包括为药房未来进行远景规划。</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零售药房数据处理，电话沟通和产品分销集成平台。</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2）集中包装某些药品，以每次服用剂量包装减少药房二次包装的劳动力。</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 提升医疗能力与零售药房的服务水平。Todd还为一家人寿医疗保险公司以提升采购能力为目标设计了项目。采购转型使这家保险公司年销售额从2000万美元提升至4000万美元。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今年是我们连续第三年请他来演讲，我们将分享连锁药房零售商如何利用数字化营销扩大业务的主要研究成果。今年我们将带来最新研究成果，向您展示企业如何扩大数字化营销能力驱动意识和销售额。</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 消费者驱动的医疗：深入了解不同慢病患者的购买行为</w:t>
      </w:r>
    </w:p>
    <w:p>
      <w:pPr>
        <w:pStyle w:val="4"/>
        <w:keepNext w:val="0"/>
        <w:keepLines w:val="0"/>
        <w:widowControl/>
        <w:suppressLineNumbers w:val="0"/>
        <w:spacing w:before="0" w:beforeAutospacing="0" w:after="0" w:afterAutospacing="0" w:line="324" w:lineRule="atLeast"/>
        <w:ind w:left="0" w:right="0"/>
        <w:rPr>
          <w:rFonts w:hint="eastAsia" w:ascii="宋体" w:hAnsi="宋体" w:eastAsia="宋体" w:cs="宋体"/>
          <w:sz w:val="30"/>
          <w:szCs w:val="30"/>
          <w:lang w:eastAsia="zh-CN"/>
        </w:rPr>
      </w:pPr>
      <w:r>
        <w:rPr>
          <w:rFonts w:hint="eastAsia" w:ascii="宋体" w:hAnsi="宋体" w:eastAsia="宋体" w:cs="宋体"/>
          <w:sz w:val="30"/>
          <w:szCs w:val="30"/>
        </w:rPr>
        <mc:AlternateContent>
          <mc:Choice Requires="wps">
            <w:drawing>
              <wp:anchor distT="0" distB="0" distL="114300" distR="114300" simplePos="0" relativeHeight="251661312" behindDoc="0" locked="0" layoutInCell="1" allowOverlap="1">
                <wp:simplePos x="0" y="0"/>
                <wp:positionH relativeFrom="column">
                  <wp:posOffset>2265680</wp:posOffset>
                </wp:positionH>
                <wp:positionV relativeFrom="paragraph">
                  <wp:posOffset>159385</wp:posOffset>
                </wp:positionV>
                <wp:extent cx="2724150" cy="12382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724150" cy="1238250"/>
                        </a:xfrm>
                        <a:prstGeom prst="rect">
                          <a:avLst/>
                        </a:prstGeom>
                        <a:solidFill>
                          <a:srgbClr val="FFFFFF"/>
                        </a:solidFill>
                        <a:ln w="6350">
                          <a:noFill/>
                        </a:ln>
                        <a:effectLst/>
                      </wps:spPr>
                      <wps:txbx>
                        <w:txbxContent>
                          <w:p>
                            <w:pPr>
                              <w:keepNext w:val="0"/>
                              <w:keepLines w:val="0"/>
                              <w:widowControl/>
                              <w:suppressLineNumbers w:val="0"/>
                              <w:jc w:val="left"/>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fldChar w:fldCharType="begin"/>
                            </w: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instrText xml:space="preserve"> HYPERLINK "http://tse.nacds.org/plan/speakers/jeff-gregori-26" </w:instrText>
                            </w: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fldChar w:fldCharType="separate"/>
                            </w:r>
                            <w:r>
                              <w:rPr>
                                <w:rFonts w:hint="eastAsia" w:ascii="仿宋_GB2312" w:hAnsi="仿宋_GB2312" w:eastAsia="仿宋_GB2312" w:cs="仿宋_GB2312"/>
                                <w:b w:val="0"/>
                                <w:i w:val="0"/>
                                <w:caps w:val="0"/>
                                <w:color w:val="000000"/>
                                <w:spacing w:val="0"/>
                                <w:sz w:val="24"/>
                                <w:szCs w:val="24"/>
                              </w:rPr>
                              <w:t>JEFF GREGORI</w:t>
                            </w:r>
                          </w:p>
                          <w:p>
                            <w:pPr>
                              <w:keepNext w:val="0"/>
                              <w:keepLines w:val="0"/>
                              <w:widowControl/>
                              <w:suppressLineNumbers w:val="0"/>
                              <w:jc w:val="left"/>
                              <w:rPr>
                                <w:rFonts w:hint="eastAsia" w:ascii="仿宋_GB2312" w:hAnsi="仿宋_GB2312" w:eastAsia="仿宋_GB2312" w:cs="仿宋_GB2312"/>
                                <w:b w:val="0"/>
                                <w:i w:val="0"/>
                                <w:caps w:val="0"/>
                                <w:color w:val="000000"/>
                                <w:spacing w:val="0"/>
                                <w:sz w:val="24"/>
                                <w:szCs w:val="24"/>
                                <w:lang w:eastAsia="zh-CN"/>
                              </w:rPr>
                            </w:pP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fldChar w:fldCharType="end"/>
                            </w:r>
                          </w:p>
                          <w:p>
                            <w:pPr>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消费者和购物者分析部门的副总裁</w:t>
                            </w:r>
                          </w:p>
                          <w:p>
                            <w:pPr>
                              <w:rPr>
                                <w:rFonts w:hint="eastAsia" w:ascii="仿宋_GB2312" w:hAnsi="仿宋_GB2312" w:eastAsia="仿宋_GB2312" w:cs="仿宋_GB2312"/>
                                <w:b w:val="0"/>
                                <w:i w:val="0"/>
                                <w:caps w:val="0"/>
                                <w:color w:val="000000"/>
                                <w:spacing w:val="0"/>
                                <w:sz w:val="24"/>
                                <w:szCs w:val="24"/>
                              </w:rPr>
                            </w:pPr>
                          </w:p>
                          <w:p>
                            <w:pPr>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尼尔森公司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4pt;margin-top:12.55pt;height:97.5pt;width:214.5pt;z-index:251661312;mso-width-relative:page;mso-height-relative:page;" fillcolor="#FFFFFF" filled="t" stroked="f" coordsize="21600,21600" o:gfxdata="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UTnDfVAAAACgEAAA8AAAAAAAAAAQAgAAAAIgAAAGRycy9kb3ducmV2&#10;LnhtbFBLAQIUABQAAAAIAIdO4kDKWm84OAIAAFAEAAAOAAAAAAAAAAEAIAAAACQBAABkcnMvZTJv&#10;RG9jLnhtbFBLBQYAAAAABgAGAFkBAADOBQAAAAA=&#10;">
                <v:fill on="t" focussize="0,0"/>
                <v:stroke on="f" weight="0.5pt"/>
                <v:imagedata o:title=""/>
                <o:lock v:ext="edit" aspectratio="f"/>
                <v:textbox>
                  <w:txbxContent>
                    <w:p>
                      <w:pPr>
                        <w:keepNext w:val="0"/>
                        <w:keepLines w:val="0"/>
                        <w:widowControl/>
                        <w:suppressLineNumbers w:val="0"/>
                        <w:jc w:val="left"/>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fldChar w:fldCharType="begin"/>
                      </w: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instrText xml:space="preserve"> HYPERLINK "http://tse.nacds.org/plan/speakers/jeff-gregori-26" </w:instrText>
                      </w: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fldChar w:fldCharType="separate"/>
                      </w:r>
                      <w:r>
                        <w:rPr>
                          <w:rFonts w:hint="eastAsia" w:ascii="仿宋_GB2312" w:hAnsi="仿宋_GB2312" w:eastAsia="仿宋_GB2312" w:cs="仿宋_GB2312"/>
                          <w:b w:val="0"/>
                          <w:i w:val="0"/>
                          <w:caps w:val="0"/>
                          <w:color w:val="000000"/>
                          <w:spacing w:val="0"/>
                          <w:sz w:val="24"/>
                          <w:szCs w:val="24"/>
                        </w:rPr>
                        <w:t>JEFF GREGORI</w:t>
                      </w:r>
                    </w:p>
                    <w:p>
                      <w:pPr>
                        <w:keepNext w:val="0"/>
                        <w:keepLines w:val="0"/>
                        <w:widowControl/>
                        <w:suppressLineNumbers w:val="0"/>
                        <w:jc w:val="left"/>
                        <w:rPr>
                          <w:rFonts w:hint="eastAsia" w:ascii="仿宋_GB2312" w:hAnsi="仿宋_GB2312" w:eastAsia="仿宋_GB2312" w:cs="仿宋_GB2312"/>
                          <w:b w:val="0"/>
                          <w:i w:val="0"/>
                          <w:caps w:val="0"/>
                          <w:color w:val="000000"/>
                          <w:spacing w:val="0"/>
                          <w:sz w:val="24"/>
                          <w:szCs w:val="24"/>
                          <w:lang w:eastAsia="zh-CN"/>
                        </w:rPr>
                      </w:pP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fldChar w:fldCharType="end"/>
                      </w:r>
                    </w:p>
                    <w:p>
                      <w:pPr>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消费者和购物者分析部门的副总裁</w:t>
                      </w:r>
                    </w:p>
                    <w:p>
                      <w:pPr>
                        <w:rPr>
                          <w:rFonts w:hint="eastAsia" w:ascii="仿宋_GB2312" w:hAnsi="仿宋_GB2312" w:eastAsia="仿宋_GB2312" w:cs="仿宋_GB2312"/>
                          <w:b w:val="0"/>
                          <w:i w:val="0"/>
                          <w:caps w:val="0"/>
                          <w:color w:val="000000"/>
                          <w:spacing w:val="0"/>
                          <w:sz w:val="24"/>
                          <w:szCs w:val="24"/>
                        </w:rPr>
                      </w:pPr>
                    </w:p>
                    <w:p>
                      <w:pPr>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尼尔森公司</w:t>
                      </w:r>
                    </w:p>
                  </w:txbxContent>
                </v:textbox>
              </v:shape>
            </w:pict>
          </mc:Fallback>
        </mc:AlternateContent>
      </w:r>
      <w:r>
        <w:rPr>
          <w:rFonts w:hint="eastAsia" w:ascii="宋体" w:hAnsi="宋体" w:eastAsia="宋体" w:cs="宋体"/>
          <w:b w:val="0"/>
          <w:i w:val="0"/>
          <w:caps w:val="0"/>
          <w:color w:val="000000"/>
          <w:spacing w:val="0"/>
          <w:sz w:val="30"/>
          <w:szCs w:val="30"/>
        </w:rPr>
        <w:t> </w:t>
      </w:r>
      <w:r>
        <w:rPr>
          <w:rFonts w:hint="eastAsia" w:ascii="宋体" w:hAnsi="宋体" w:eastAsia="宋体" w:cs="宋体"/>
          <w:sz w:val="30"/>
          <w:szCs w:val="30"/>
          <w:lang w:eastAsia="zh-CN"/>
        </w:rPr>
        <w:drawing>
          <wp:inline distT="0" distB="0" distL="114300" distR="114300">
            <wp:extent cx="1905000" cy="1428750"/>
            <wp:effectExtent l="0" t="0" r="0" b="0"/>
            <wp:docPr id="7"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1"/>
                    <pic:cNvPicPr>
                      <a:picLocks noChangeAspect="1"/>
                    </pic:cNvPicPr>
                  </pic:nvPicPr>
                  <pic:blipFill>
                    <a:blip r:embed="rId8"/>
                    <a:stretch>
                      <a:fillRect/>
                    </a:stretch>
                  </pic:blipFill>
                  <pic:spPr>
                    <a:xfrm>
                      <a:off x="0" y="0"/>
                      <a:ext cx="1905000" cy="1428750"/>
                    </a:xfrm>
                    <a:prstGeom prst="rect">
                      <a:avLst/>
                    </a:prstGeom>
                    <a:noFill/>
                    <a:ln w="9525">
                      <a:noFill/>
                      <a:miter/>
                    </a:ln>
                    <a:effectLst/>
                  </pic:spPr>
                </pic:pic>
              </a:graphicData>
            </a:graphic>
          </wp:inline>
        </w:drawing>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Jeff是尼尔森公司消费者和购物者分析部门的副总裁。尼尔森公司是一家在消费包装产品方面有20多年经验的市场研究咨询公司。</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Jeff 领导尼尔森美国消费者和购物者洞察部。在创造成功创新零售解决方案上有丰富经验包括门店品牌洞察，购物者视角和购物者目标。作为产业界会议的座上宾，他最近演讲的题目包括：经济分水岭，增长新理念和销售收入渠道的崛起。</w:t>
      </w:r>
    </w:p>
    <w:p>
      <w:pPr>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慢病患者从不同视角看待有药房的门店，因素包括购物体验或地点。了解慢病患者的需求有利于提升这些门店的销售额和顾客忠诚度，改善慢病患者的健康。去年我们讲述了门店和品牌如何利用药房和门店其它货架满足糖尿病患者的需求。今年我们将集中讨论高血压患者的需求。</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药品趋势，问题和预测</w:t>
      </w:r>
    </w:p>
    <w:p>
      <w:pPr>
        <w:pStyle w:val="4"/>
        <w:keepNext w:val="0"/>
        <w:keepLines w:val="0"/>
        <w:widowControl/>
        <w:suppressLineNumbers w:val="0"/>
        <w:spacing w:before="0" w:beforeAutospacing="0" w:after="0" w:afterAutospacing="0" w:line="324" w:lineRule="atLeast"/>
        <w:ind w:right="0"/>
        <w:rPr>
          <w:rFonts w:hint="eastAsia" w:ascii="宋体" w:hAnsi="宋体" w:eastAsia="宋体" w:cs="宋体"/>
          <w:sz w:val="30"/>
          <w:szCs w:val="30"/>
        </w:rPr>
      </w:pPr>
      <w:r>
        <w:rPr>
          <w:rFonts w:hint="eastAsia" w:ascii="宋体" w:hAnsi="宋体" w:eastAsia="宋体" w:cs="宋体"/>
          <w:sz w:val="30"/>
          <w:szCs w:val="30"/>
        </w:rPr>
        <mc:AlternateContent>
          <mc:Choice Requires="wps">
            <w:drawing>
              <wp:anchor distT="0" distB="0" distL="114300" distR="114300" simplePos="0" relativeHeight="251662336" behindDoc="0" locked="0" layoutInCell="1" allowOverlap="1">
                <wp:simplePos x="0" y="0"/>
                <wp:positionH relativeFrom="column">
                  <wp:posOffset>2141855</wp:posOffset>
                </wp:positionH>
                <wp:positionV relativeFrom="paragraph">
                  <wp:posOffset>199390</wp:posOffset>
                </wp:positionV>
                <wp:extent cx="2724150" cy="123825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724150" cy="1238250"/>
                        </a:xfrm>
                        <a:prstGeom prst="rect">
                          <a:avLst/>
                        </a:prstGeom>
                        <a:solidFill>
                          <a:srgbClr val="FFFFFF"/>
                        </a:solidFill>
                        <a:ln w="6350">
                          <a:noFill/>
                        </a:ln>
                        <a:effectLst/>
                      </wps:spPr>
                      <wps:txbx>
                        <w:txbxContent>
                          <w:p>
                            <w:pPr>
                              <w:keepNext w:val="0"/>
                              <w:keepLines w:val="0"/>
                              <w:widowControl/>
                              <w:suppressLineNumbers w:val="0"/>
                              <w:jc w:val="left"/>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fldChar w:fldCharType="begin"/>
                            </w: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instrText xml:space="preserve"> HYPERLINK "http://tse.nacds.org/plan/speakers/doug-long-27" </w:instrText>
                            </w: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fldChar w:fldCharType="separate"/>
                            </w:r>
                            <w:r>
                              <w:rPr>
                                <w:rFonts w:hint="eastAsia" w:ascii="仿宋_GB2312" w:hAnsi="仿宋_GB2312" w:eastAsia="仿宋_GB2312" w:cs="仿宋_GB2312"/>
                                <w:b w:val="0"/>
                                <w:i w:val="0"/>
                                <w:caps w:val="0"/>
                                <w:color w:val="000000"/>
                                <w:spacing w:val="0"/>
                                <w:sz w:val="24"/>
                                <w:szCs w:val="24"/>
                              </w:rPr>
                              <w:t>DOUG LONG</w:t>
                            </w:r>
                          </w:p>
                          <w:p>
                            <w:pPr>
                              <w:keepNext w:val="0"/>
                              <w:keepLines w:val="0"/>
                              <w:widowControl/>
                              <w:suppressLineNumbers w:val="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fldChar w:fldCharType="end"/>
                            </w:r>
                          </w:p>
                          <w:p>
                            <w:pPr>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消费者和购物者分析部门的副总裁</w:t>
                            </w:r>
                          </w:p>
                          <w:p>
                            <w:pPr>
                              <w:rPr>
                                <w:rFonts w:hint="eastAsia" w:ascii="仿宋_GB2312" w:hAnsi="仿宋_GB2312" w:eastAsia="仿宋_GB2312" w:cs="仿宋_GB2312"/>
                                <w:b w:val="0"/>
                                <w:i w:val="0"/>
                                <w:caps w:val="0"/>
                                <w:color w:val="000000"/>
                                <w:spacing w:val="0"/>
                                <w:sz w:val="24"/>
                                <w:szCs w:val="24"/>
                              </w:rPr>
                            </w:pPr>
                          </w:p>
                          <w:p>
                            <w:pPr>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IMS产业关系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65pt;margin-top:15.7pt;height:97.5pt;width:214.5pt;z-index:251662336;mso-width-relative:page;mso-height-relative:page;" fillcolor="#FFFFFF" filled="t" stroked="f" coordsize="21600,21600" o:gfxdata="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E7WGd1QAAAAoBAAAPAAAAAAAAAAEAIAAAACIAAABkcnMvZG93bnJl&#10;di54bWxQSwECFAAUAAAACACHTuJA6Hu9czkCAABSBAAADgAAAAAAAAABACAAAAAkAQAAZHJzL2Uy&#10;b0RvYy54bWxQSwUGAAAAAAYABgBZAQAAzwUAAAAA&#10;">
                <v:fill on="t" focussize="0,0"/>
                <v:stroke on="f" weight="0.5pt"/>
                <v:imagedata o:title=""/>
                <o:lock v:ext="edit" aspectratio="f"/>
                <v:textbox>
                  <w:txbxContent>
                    <w:p>
                      <w:pPr>
                        <w:keepNext w:val="0"/>
                        <w:keepLines w:val="0"/>
                        <w:widowControl/>
                        <w:suppressLineNumbers w:val="0"/>
                        <w:jc w:val="left"/>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fldChar w:fldCharType="begin"/>
                      </w: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instrText xml:space="preserve"> HYPERLINK "http://tse.nacds.org/plan/speakers/doug-long-27" </w:instrText>
                      </w: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fldChar w:fldCharType="separate"/>
                      </w:r>
                      <w:r>
                        <w:rPr>
                          <w:rFonts w:hint="eastAsia" w:ascii="仿宋_GB2312" w:hAnsi="仿宋_GB2312" w:eastAsia="仿宋_GB2312" w:cs="仿宋_GB2312"/>
                          <w:b w:val="0"/>
                          <w:i w:val="0"/>
                          <w:caps w:val="0"/>
                          <w:color w:val="000000"/>
                          <w:spacing w:val="0"/>
                          <w:sz w:val="24"/>
                          <w:szCs w:val="24"/>
                        </w:rPr>
                        <w:t>DOUG LONG</w:t>
                      </w:r>
                    </w:p>
                    <w:p>
                      <w:pPr>
                        <w:keepNext w:val="0"/>
                        <w:keepLines w:val="0"/>
                        <w:widowControl/>
                        <w:suppressLineNumbers w:val="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1C1C1F"/>
                          <w:spacing w:val="0"/>
                          <w:kern w:val="0"/>
                          <w:sz w:val="21"/>
                          <w:szCs w:val="21"/>
                          <w:u w:val="single"/>
                          <w:shd w:val="clear" w:color="auto" w:fill="FFFFFF"/>
                          <w:vertAlign w:val="baseline"/>
                          <w:lang w:val="en-US" w:eastAsia="zh-CN" w:bidi="ar"/>
                        </w:rPr>
                        <w:fldChar w:fldCharType="end"/>
                      </w:r>
                    </w:p>
                    <w:p>
                      <w:pPr>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消费者和购物者分析部门的副总裁</w:t>
                      </w:r>
                    </w:p>
                    <w:p>
                      <w:pPr>
                        <w:rPr>
                          <w:rFonts w:hint="eastAsia" w:ascii="仿宋_GB2312" w:hAnsi="仿宋_GB2312" w:eastAsia="仿宋_GB2312" w:cs="仿宋_GB2312"/>
                          <w:b w:val="0"/>
                          <w:i w:val="0"/>
                          <w:caps w:val="0"/>
                          <w:color w:val="000000"/>
                          <w:spacing w:val="0"/>
                          <w:sz w:val="24"/>
                          <w:szCs w:val="24"/>
                        </w:rPr>
                      </w:pPr>
                    </w:p>
                    <w:p>
                      <w:pPr>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IMS产业关系</w:t>
                      </w:r>
                    </w:p>
                  </w:txbxContent>
                </v:textbox>
              </v:shape>
            </w:pict>
          </mc:Fallback>
        </mc:AlternateContent>
      </w:r>
      <w:r>
        <w:rPr>
          <w:rFonts w:hint="eastAsia" w:ascii="宋体" w:hAnsi="宋体" w:eastAsia="宋体" w:cs="宋体"/>
          <w:sz w:val="30"/>
          <w:szCs w:val="30"/>
          <w:lang w:eastAsia="zh-CN"/>
        </w:rPr>
        <w:drawing>
          <wp:inline distT="0" distB="0" distL="114300" distR="114300">
            <wp:extent cx="1905000" cy="1428750"/>
            <wp:effectExtent l="0" t="0" r="0" b="0"/>
            <wp:docPr id="10"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2"/>
                    <pic:cNvPicPr>
                      <a:picLocks noChangeAspect="1"/>
                    </pic:cNvPicPr>
                  </pic:nvPicPr>
                  <pic:blipFill>
                    <a:blip r:embed="rId9"/>
                    <a:stretch>
                      <a:fillRect/>
                    </a:stretch>
                  </pic:blipFill>
                  <pic:spPr>
                    <a:xfrm>
                      <a:off x="0" y="0"/>
                      <a:ext cx="1905000" cy="1428750"/>
                    </a:xfrm>
                    <a:prstGeom prst="rect">
                      <a:avLst/>
                    </a:prstGeom>
                    <a:noFill/>
                    <a:ln w="9525">
                      <a:noFill/>
                      <a:miter/>
                    </a:ln>
                    <a:effectLst/>
                  </pic:spPr>
                </pic:pic>
              </a:graphicData>
            </a:graphic>
          </wp:inline>
        </w:drawing>
      </w:r>
      <w:r>
        <w:rPr>
          <w:rFonts w:hint="eastAsia" w:ascii="宋体" w:hAnsi="宋体" w:eastAsia="宋体" w:cs="宋体"/>
          <w:b w:val="0"/>
          <w:i w:val="0"/>
          <w:caps w:val="0"/>
          <w:color w:val="000000"/>
          <w:spacing w:val="0"/>
          <w:sz w:val="30"/>
          <w:szCs w:val="30"/>
        </w:rPr>
        <w:t>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道格是IMS产业关系副总裁。</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本次分会将重点讨论2016年及未来的药品趋势，问题，不同地域销售预测和市场分析。社区药房将受到医药产业细分领域增长和下滑的影响。分会将分析最新数据，探讨产业未来发展趋势。</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5.预测分析与健康信息技术在推动大众健康和药房质量上发挥的作用</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预测分析与健康信息技术的发展正快速提升社区药房的能力，将影响公众健康和患者健康结果质量。数据分析与技术解决方案可用在社区药房，微调以治疗结果为导向的医疗干预政策。</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本次分会将讨论前沿技术的利好，如何成功逾越障碍，精简工作流程。</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 毒麻药品滥用：药品滥用的潜在解决方案</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毒麻药品过度使用和超剂量使用已成为头号公众健康问题。做法改变，技术和医疗发展的深度和广度已将社区药房推向改进前沿。本次分会上，专家将讨论技术与医疗进展给药房提供哪些潜在解决方案，改善社区公众健康。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 药品供应链安全法案下一步该如何走？</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药品供应链安全法案通过已两年。目前已形成了几个标准包括制药商和分销商间互通交易历史，交易信息与数据，以及分销商和药房间的数据与信息分享。</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药品电子监管码是供应链的未来趋势。本次分会将讨论合规现状，药品供应链各方面临的主要问题以及尚未解决的问题。企业需要考虑下一步该如何走，应在哪些方面投入等。</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 全方位渠道零售将如何影响供应链运营？</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全方位渠道零售将驱动企业重温传统理念，投资和商业战略以及商业实践。这种新理念已影响零售商和供应商的各个功能领域。本次分会将讨论全方位渠道零售对零售商和供应商供应链的影响。</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w:t>
      </w:r>
    </w:p>
    <w:p>
      <w:pP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2016年8月8日/周一</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展览</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 主题演讲</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08:00 AM - 09:00 AM</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如何利用电商和激活方法赢得美容和OTC市场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美容产品的千禧年购物者在什么地方购物？birchbox和ipsy电商了解哪些传统美容产品零售商不知道的法宝？本次分会将重点讨论美容产品千禧年购物者在哪里购物？驱动购买决策的动因是什么？分会还将讨论还有哪些产品类别在赢得千禧年消费者上存在巨大风险。</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 赢得西班牙裔消费者</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美国西班牙裔人口不断增长--而且更年轻化。西班牙裔也更富裕。购买力超过1.4万亿美元。相当于世界第16大经济体。</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因此赢得这个新兴族群是多么重要。本次分会将简要介绍品牌营销混合战略。专家将分享西班牙裔消费者的价值观以及文化因素。哪些因素将影响购物决策以及西班牙裔消费者的消费习惯。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 远程医疗的趋势</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远程医疗的发展已拓宽了有需求患者的护理和就医渠道。远程医疗为社区药房开辟了更多新渠道，尤其在团队型护理领域发挥了独特作用。本次分会将邀请专家讨论远程医疗的现状和未来发展态势包括药房参与的机遇。</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以社区为基础的护理点测试：从创新护理模式到惯例</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社区药房是最便捷的医疗服务点。获得临床实验室改进修正案豁免的护理点测试的发展进程给药房更多机会不断提升公众健康，通过对急性和慢性病的筛选实现上述目标。本次分会将邀请资深专家和实操者分享从概念到实践到每天测试的过程。</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 按疗效付费给社区药房带来什么机遇：支付机构的视角。</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随着医疗产业从之前的付费服务转型为以疗效为导向的付费方式后，药房参与P4P项目的机遇快速增加。社区药房有更大优势改善患者治疗结果，降低护理的总成本。欢迎聆听保险公司如何评价社区药房在绩效型改革方面发挥的作用。</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 美国环保署新出台的法规和各州法规如何影响运营与供应链</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新法规将影响零售商处理店内破损或过期产品的方式。这些规定加大交易双方的压力因为零售商已开始向供应商索取更多成份信息，但供应商很犹豫是否要给。本次分会将重点讨论这些新规定，零售商如何合规，供应商如何辅助提升合规操作并降低成本。</w:t>
      </w:r>
    </w:p>
    <w:p>
      <w:pP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2016年8月9日/周二</w:t>
      </w:r>
    </w:p>
    <w:p>
      <w:pP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展览</w:t>
      </w:r>
    </w:p>
    <w:p>
      <w:pP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sz w:val="30"/>
          <w:szCs w:val="30"/>
          <w:lang w:val="en-US" w:eastAsia="zh-CN"/>
        </w:rPr>
        <w:t> </w:t>
      </w:r>
    </w:p>
    <w:p>
      <w:pPr>
        <w:jc w:val="center"/>
        <w:rPr>
          <w:rFonts w:ascii="仿宋_GB2312" w:hAnsi="仿宋" w:eastAsia="仿宋_GB2312"/>
          <w:b/>
          <w:sz w:val="30"/>
          <w:szCs w:val="30"/>
        </w:rPr>
      </w:pPr>
      <w:r>
        <w:rPr>
          <w:rFonts w:hint="eastAsia" w:ascii="仿宋_GB2312" w:hAnsi="仿宋" w:eastAsia="仿宋_GB2312"/>
          <w:b/>
          <w:sz w:val="30"/>
          <w:szCs w:val="30"/>
        </w:rPr>
        <w:t>会议注册缴费数额一览表</w:t>
      </w:r>
    </w:p>
    <w:tbl>
      <w:tblPr>
        <w:tblStyle w:val="7"/>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0"/>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46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参会人员</w:t>
            </w:r>
          </w:p>
        </w:tc>
        <w:tc>
          <w:tcPr>
            <w:tcW w:w="3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注册费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46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零售商</w:t>
            </w:r>
          </w:p>
        </w:tc>
        <w:tc>
          <w:tcPr>
            <w:tcW w:w="38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lang w:val="en-US" w:eastAsia="zh-CN"/>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46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其他人员</w:t>
            </w:r>
          </w:p>
        </w:tc>
        <w:tc>
          <w:tcPr>
            <w:tcW w:w="3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2300美</w:t>
            </w:r>
            <w:r>
              <w:rPr>
                <w:rFonts w:hint="eastAsia" w:ascii="仿宋_GB2312" w:hAnsi="仿宋" w:eastAsia="仿宋_GB2312"/>
                <w:sz w:val="28"/>
                <w:szCs w:val="28"/>
              </w:rPr>
              <w:t>元/人</w:t>
            </w:r>
          </w:p>
        </w:tc>
      </w:tr>
    </w:tbl>
    <w:p>
      <w:pPr>
        <w:rPr>
          <w:rFonts w:hint="eastAsia" w:ascii="仿宋_GB2312" w:hAnsi="仿宋_GB2312" w:eastAsia="仿宋_GB2312" w:cs="仿宋_GB2312"/>
          <w:b/>
          <w:bCs/>
          <w:sz w:val="30"/>
          <w:szCs w:val="30"/>
          <w:lang w:val="en-US" w:eastAsia="zh-CN"/>
        </w:rPr>
      </w:pPr>
    </w:p>
    <w:p>
      <w:pPr/>
    </w:p>
    <w:p>
      <w:pPr/>
    </w:p>
    <w:sectPr>
      <w:headerReference r:id="rId3" w:type="first"/>
      <w:footerReference r:id="rId4" w:type="default"/>
      <w:footerReference r:id="rId5" w:type="even"/>
      <w:pgSz w:w="11906" w:h="16838"/>
      <w:pgMar w:top="1418" w:right="1701" w:bottom="1418" w:left="1701" w:header="851" w:footer="851"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RVMNJC+FZHTJW--GB1-0">
    <w:altName w:val="宋体"/>
    <w:panose1 w:val="00000000000000000000"/>
    <w:charset w:val="86"/>
    <w:family w:val="swiss"/>
    <w:pitch w:val="default"/>
    <w:sig w:usb0="00000000" w:usb1="00000000" w:usb2="00000010" w:usb3="00000000" w:csb0="00040000" w:csb1="00000000"/>
  </w:font>
  <w:font w:name="方正黑体简体2.">
    <w:altName w:val="微软雅黑"/>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300"/>
      </w:tabs>
      <w:jc w:val="both"/>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6027C"/>
    <w:rsid w:val="063602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jc w:val="left"/>
    </w:pPr>
    <w:rPr>
      <w:rFonts w:ascii="宋体" w:hAnsi="宋体" w:cs="宋体"/>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2016-05-30T07:39:00Z</dcterms:created>
  <dc:creator>dell</dc:creator>
  <cp:lastModifiedBy>dell</cp:lastModifiedBy>
  <dcterms:modified xsi:type="dcterms:W3CDTF">2016-05-30T07:40:06Z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