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E477D">
      <w:pPr>
        <w:pStyle w:val="9"/>
        <w:spacing w:after="120" w:afterLines="50"/>
        <w:jc w:val="center"/>
        <w:rPr>
          <w:rFonts w:hint="eastAsia" w:ascii="黑体" w:hAnsi="黑体" w:eastAsia="黑体"/>
          <w:color w:val="auto"/>
          <w:sz w:val="44"/>
          <w:szCs w:val="44"/>
          <w:lang w:eastAsia="zh-CN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药品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零售</w:t>
      </w:r>
      <w:r>
        <w:rPr>
          <w:rFonts w:hint="eastAsia" w:ascii="黑体" w:hAnsi="黑体" w:eastAsia="黑体"/>
          <w:color w:val="auto"/>
          <w:sz w:val="44"/>
          <w:szCs w:val="44"/>
        </w:rPr>
        <w:t>蓝皮书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介绍</w:t>
      </w:r>
    </w:p>
    <w:p w14:paraId="4C0CBA1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ind w:firstLine="480" w:firstLineChars="200"/>
        <w:textAlignment w:val="auto"/>
        <w:rPr>
          <w:rStyle w:val="12"/>
          <w:rFonts w:ascii="华文隶书" w:hAnsi="黑体" w:eastAsia="华文隶书" w:cs="RVMNJC+FZSSJW--GB1-0"/>
          <w:sz w:val="36"/>
          <w:szCs w:val="36"/>
        </w:rPr>
      </w:pPr>
      <w:r>
        <w:rPr>
          <w:rStyle w:val="12"/>
          <w:rFonts w:hint="eastAsia" w:cs="RVMNJC+FZSSJW--GB1-0"/>
          <w:sz w:val="24"/>
        </w:rPr>
        <w:t>《中国药品</w:t>
      </w:r>
      <w:r>
        <w:rPr>
          <w:rStyle w:val="12"/>
          <w:rFonts w:hint="eastAsia" w:eastAsia="RVMNJC+FZSSJW--GB1-0" w:cs="RVMNJC+FZSSJW--GB1-0"/>
          <w:sz w:val="24"/>
          <w:lang w:val="en-US" w:eastAsia="zh-CN"/>
        </w:rPr>
        <w:t>零售</w:t>
      </w:r>
      <w:r>
        <w:rPr>
          <w:rStyle w:val="12"/>
          <w:rFonts w:hint="eastAsia" w:cs="RVMNJC+FZSSJW--GB1-0"/>
          <w:sz w:val="24"/>
        </w:rPr>
        <w:t>业发展报告（202</w:t>
      </w:r>
      <w:r>
        <w:rPr>
          <w:rStyle w:val="12"/>
          <w:rFonts w:hint="eastAsia" w:eastAsia="RVMNJC+FZSSJW--GB1-0" w:cs="RVMNJC+FZSSJW--GB1-0"/>
          <w:sz w:val="24"/>
          <w:lang w:val="en-US" w:eastAsia="zh-CN"/>
        </w:rPr>
        <w:t>5</w:t>
      </w:r>
      <w:r>
        <w:rPr>
          <w:rStyle w:val="12"/>
          <w:rFonts w:hint="eastAsia" w:cs="RVMNJC+FZSSJW--GB1-0"/>
          <w:sz w:val="24"/>
        </w:rPr>
        <w:t>）》是由中国医药商业协会组织国内外业界专家、学者及业内优秀企业，并与社会科学文献出版社合作完成的智库读物</w:t>
      </w:r>
      <w:r>
        <w:rPr>
          <w:rStyle w:val="12"/>
          <w:rFonts w:hint="eastAsia" w:eastAsia="RVMNJC+FZSSJW--GB1-0" w:cs="RVMNJC+FZSSJW--GB1-0"/>
          <w:sz w:val="24"/>
          <w:lang w:eastAsia="zh-CN"/>
        </w:rPr>
        <w:t>。</w:t>
      </w:r>
      <w:r>
        <w:rPr>
          <w:rStyle w:val="12"/>
          <w:rFonts w:hint="eastAsia" w:eastAsia="RVMNJC+FZSSJW--GB1-0" w:cs="RVMNJC+FZSSJW--GB1-0"/>
          <w:sz w:val="24"/>
          <w:lang w:val="en-US" w:eastAsia="zh-CN"/>
        </w:rPr>
        <w:t>本书</w:t>
      </w:r>
      <w:r>
        <w:rPr>
          <w:rStyle w:val="12"/>
          <w:rFonts w:hint="eastAsia" w:cs="RVMNJC+FZSSJW--GB1-0"/>
          <w:sz w:val="24"/>
        </w:rPr>
        <w:t>分为总报告、政策篇、行业篇、创新篇、服务篇和国际篇，聚焦药品零售相关政策、发展特点</w:t>
      </w:r>
      <w:r>
        <w:rPr>
          <w:rStyle w:val="12"/>
          <w:rFonts w:hint="eastAsia" w:eastAsia="RVMNJC+FZSSJW--GB1-0" w:cs="RVMNJC+FZSSJW--GB1-0"/>
          <w:sz w:val="24"/>
          <w:lang w:eastAsia="zh-CN"/>
        </w:rPr>
        <w:t>、</w:t>
      </w:r>
      <w:r>
        <w:rPr>
          <w:rStyle w:val="12"/>
          <w:rFonts w:hint="eastAsia" w:cs="RVMNJC+FZSSJW--GB1-0"/>
          <w:sz w:val="24"/>
        </w:rPr>
        <w:t>创新服务举措以及国外药品零售发展经验借鉴等内容，辅以详实数据信息，综合反映了我国药品零售行业发展现状，并对未来发展趋势进行了展望。</w:t>
      </w:r>
      <w:r>
        <w:rPr>
          <w:rStyle w:val="12"/>
          <w:rFonts w:hint="eastAsia" w:eastAsia="RVMNJC+FZSSJW--GB1-0" w:cs="RVMNJC+FZSSJW--GB1-0"/>
          <w:sz w:val="24"/>
          <w:lang w:val="en-US" w:eastAsia="zh-CN"/>
        </w:rPr>
        <w:t>本书</w:t>
      </w:r>
      <w:r>
        <w:rPr>
          <w:rStyle w:val="12"/>
          <w:rFonts w:hint="eastAsia" w:cs="RVMNJC+FZSSJW--GB1-0"/>
          <w:sz w:val="24"/>
        </w:rPr>
        <w:t>具有权威性、</w:t>
      </w:r>
      <w:r>
        <w:rPr>
          <w:rStyle w:val="12"/>
          <w:rFonts w:hint="eastAsia" w:eastAsia="RVMNJC+FZSSJW--GB1-0" w:cs="RVMNJC+FZSSJW--GB1-0"/>
          <w:sz w:val="24"/>
          <w:lang w:val="en-US" w:eastAsia="zh-CN"/>
        </w:rPr>
        <w:t>全面性、</w:t>
      </w:r>
      <w:r>
        <w:rPr>
          <w:rStyle w:val="12"/>
          <w:rFonts w:hint="eastAsia" w:cs="RVMNJC+FZSSJW--GB1-0"/>
          <w:sz w:val="24"/>
        </w:rPr>
        <w:t>系统性、前瞻性</w:t>
      </w:r>
      <w:r>
        <w:rPr>
          <w:rStyle w:val="12"/>
          <w:rFonts w:hint="eastAsia" w:eastAsia="RVMNJC+FZSSJW--GB1-0" w:cs="RVMNJC+FZSSJW--GB1-0"/>
          <w:sz w:val="24"/>
          <w:lang w:eastAsia="zh-CN"/>
        </w:rPr>
        <w:t>和</w:t>
      </w:r>
      <w:r>
        <w:rPr>
          <w:rStyle w:val="12"/>
          <w:rFonts w:hint="eastAsia" w:cs="RVMNJC+FZSSJW--GB1-0"/>
          <w:sz w:val="24"/>
        </w:rPr>
        <w:t>实用性等特点，</w:t>
      </w:r>
      <w:r>
        <w:rPr>
          <w:rStyle w:val="12"/>
          <w:rFonts w:hint="eastAsia" w:eastAsia="RVMNJC+FZSSJW--GB1-0" w:cs="RVMNJC+FZSSJW--GB1-0"/>
          <w:sz w:val="24"/>
          <w:lang w:val="en-US" w:eastAsia="zh-CN"/>
        </w:rPr>
        <w:t>期望能够</w:t>
      </w:r>
      <w:r>
        <w:rPr>
          <w:rStyle w:val="12"/>
          <w:rFonts w:hint="eastAsia" w:cs="RVMNJC+FZSSJW--GB1-0"/>
          <w:sz w:val="24"/>
        </w:rPr>
        <w:t>成为研究和指导药品零售业发展的重要文献。欢迎社会各界及广大业内企业订购。</w:t>
      </w:r>
    </w:p>
    <w:p w14:paraId="7F985FB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ascii="华文隶书" w:hAnsi="黑体" w:eastAsia="华文隶书" w:cs="RVMNJC+FZSSJW--GB1-0"/>
          <w:sz w:val="36"/>
          <w:szCs w:val="36"/>
        </w:rPr>
      </w:pPr>
      <w:r>
        <w:rPr>
          <w:rStyle w:val="12"/>
          <w:rFonts w:hint="eastAsia" w:ascii="华文隶书" w:hAnsi="黑体" w:eastAsia="华文隶书" w:cs="RVMNJC+FZSSJW--GB1-0"/>
          <w:sz w:val="36"/>
          <w:szCs w:val="36"/>
        </w:rPr>
        <w:t>亮点</w:t>
      </w:r>
    </w:p>
    <w:p w14:paraId="32EE49FF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ascii="宋体" w:hAnsi="宋体" w:eastAsia="宋体" w:cs="RVMNJC+FZSSJW--GB1-0"/>
          <w:b/>
          <w:bCs/>
          <w:sz w:val="24"/>
        </w:rPr>
      </w:pPr>
      <w:r>
        <w:rPr>
          <w:rStyle w:val="12"/>
          <w:rFonts w:ascii="宋体" w:hAnsi="宋体" w:eastAsia="宋体" w:cs="RVMNJC+FZSSJW--GB1-0"/>
          <w:b/>
          <w:bCs/>
          <w:sz w:val="24"/>
        </w:rPr>
        <w:t>行业报告：</w:t>
      </w:r>
    </w:p>
    <w:p w14:paraId="2EBA7D95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2024年中国药品零售市场发展报告</w:t>
      </w:r>
    </w:p>
    <w:p w14:paraId="6EEA532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2024年中国经营特殊疾病药品零售药房的发展报告</w:t>
      </w:r>
    </w:p>
    <w:p w14:paraId="100EB06A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2024年药品零售企业上市公司发展报告</w:t>
      </w:r>
    </w:p>
    <w:p w14:paraId="62096F15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2024年医药电商市场发展现状及行业趋势分析</w:t>
      </w:r>
    </w:p>
    <w:p w14:paraId="5150DE4A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2024年关于执业药师队伍发展的回顾与思考</w:t>
      </w:r>
    </w:p>
    <w:p w14:paraId="3853EE7D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ascii="宋体" w:hAnsi="宋体" w:eastAsia="宋体" w:cs="RVMNJC+FZSSJW--GB1-0"/>
          <w:b/>
          <w:bCs/>
          <w:sz w:val="24"/>
        </w:rPr>
      </w:pPr>
      <w:r>
        <w:rPr>
          <w:rStyle w:val="12"/>
          <w:rFonts w:ascii="宋体" w:hAnsi="宋体" w:eastAsia="宋体" w:cs="RVMNJC+FZSSJW--GB1-0"/>
          <w:b/>
          <w:bCs/>
          <w:sz w:val="24"/>
        </w:rPr>
        <w:t>专家</w:t>
      </w:r>
      <w:r>
        <w:rPr>
          <w:rStyle w:val="12"/>
          <w:rFonts w:hint="eastAsia" w:ascii="宋体" w:hAnsi="宋体" w:eastAsia="宋体" w:cs="RVMNJC+FZSSJW--GB1-0"/>
          <w:b/>
          <w:bCs/>
          <w:sz w:val="24"/>
          <w:lang w:val="en-US" w:eastAsia="zh-CN"/>
        </w:rPr>
        <w:t>著</w:t>
      </w:r>
      <w:r>
        <w:rPr>
          <w:rStyle w:val="12"/>
          <w:rFonts w:ascii="宋体" w:hAnsi="宋体" w:eastAsia="宋体" w:cs="RVMNJC+FZSSJW--GB1-0"/>
          <w:b/>
          <w:bCs/>
          <w:sz w:val="24"/>
        </w:rPr>
        <w:t>作：</w:t>
      </w:r>
    </w:p>
    <w:p w14:paraId="6517BAD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hint="eastAsia" w:ascii="宋体" w:hAnsi="宋体" w:eastAsia="宋体" w:cs="RVMNJC+FZSSJW--GB1-0"/>
          <w:color w:val="auto"/>
          <w:sz w:val="24"/>
        </w:rPr>
      </w:pPr>
      <w:r>
        <w:rPr>
          <w:rStyle w:val="12"/>
          <w:rFonts w:hint="eastAsia" w:ascii="宋体" w:hAnsi="宋体" w:eastAsia="宋体" w:cs="RVMNJC+FZSSJW--GB1-0"/>
          <w:color w:val="auto"/>
          <w:sz w:val="24"/>
        </w:rPr>
        <w:t>2024年国家药品零售监管政策及重点内容解析</w:t>
      </w:r>
    </w:p>
    <w:p w14:paraId="68ACCB9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hint="eastAsia" w:ascii="宋体" w:hAnsi="宋体" w:eastAsia="宋体" w:cs="RVMNJC+FZSSJW--GB1-0"/>
          <w:color w:val="auto"/>
          <w:sz w:val="24"/>
        </w:rPr>
      </w:pPr>
      <w:r>
        <w:rPr>
          <w:rStyle w:val="12"/>
          <w:rFonts w:hint="eastAsia" w:ascii="宋体" w:hAnsi="宋体" w:eastAsia="宋体" w:cs="RVMNJC+FZSSJW--GB1-0"/>
          <w:color w:val="auto"/>
          <w:sz w:val="24"/>
        </w:rPr>
        <w:t>药品零售行业主要反垄断法风险与合规要点</w:t>
      </w:r>
    </w:p>
    <w:p w14:paraId="64FAD3AB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color w:val="auto"/>
          <w:sz w:val="24"/>
        </w:rPr>
      </w:pPr>
      <w:r>
        <w:rPr>
          <w:rStyle w:val="12"/>
          <w:rFonts w:hint="eastAsia" w:ascii="宋体" w:hAnsi="宋体" w:eastAsia="宋体" w:cs="RVMNJC+FZSSJW--GB1-0"/>
          <w:color w:val="auto"/>
          <w:sz w:val="24"/>
        </w:rPr>
        <w:t>仿制药替代原研药的现状、问题及建议</w:t>
      </w:r>
    </w:p>
    <w:p w14:paraId="652BDC65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color w:val="auto"/>
          <w:sz w:val="24"/>
        </w:rPr>
      </w:pPr>
      <w:r>
        <w:rPr>
          <w:rStyle w:val="12"/>
          <w:rFonts w:hint="eastAsia" w:ascii="宋体" w:hAnsi="宋体" w:eastAsia="宋体" w:cs="RVMNJC+FZSSJW--GB1-0"/>
          <w:color w:val="auto"/>
          <w:sz w:val="24"/>
        </w:rPr>
        <w:t>基本医保门诊统筹政策下零售药店的发展态势</w:t>
      </w:r>
    </w:p>
    <w:p w14:paraId="67CB304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零售药店在医保新政下的发展实践探索</w:t>
      </w:r>
    </w:p>
    <w:p w14:paraId="0DB1FD62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关于慢性呼吸系统疾病药学服务的院内外衔接机制研究</w:t>
      </w:r>
    </w:p>
    <w:p w14:paraId="03A9271E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制药公司视角下的DTP药房渠道效能保障策略</w:t>
      </w:r>
    </w:p>
    <w:p w14:paraId="53EF5D90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农村患者用药可及性的思考与挑战--以云南省农村地区为例</w:t>
      </w:r>
    </w:p>
    <w:p w14:paraId="2C95D0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  <w:t>慢性病管理与药品零售端的工商联动：探索一体化药学服务新模式</w:t>
      </w:r>
    </w:p>
    <w:p w14:paraId="2CABD209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ascii="宋体" w:hAnsi="宋体" w:eastAsia="宋体" w:cs="RVMNJC+FZSSJW--GB1-0"/>
          <w:b/>
          <w:bCs/>
          <w:color w:val="auto"/>
          <w:sz w:val="24"/>
        </w:rPr>
      </w:pPr>
      <w:r>
        <w:rPr>
          <w:rStyle w:val="7"/>
          <w:rFonts w:hint="eastAsia" w:ascii="Segoe UI" w:hAnsi="Segoe UI" w:eastAsia="宋体" w:cs="Segoe UI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创新案例</w:t>
      </w:r>
      <w:r>
        <w:rPr>
          <w:rStyle w:val="12"/>
          <w:rFonts w:ascii="宋体" w:hAnsi="宋体" w:eastAsia="宋体" w:cs="RVMNJC+FZSSJW--GB1-0"/>
          <w:b/>
          <w:bCs/>
          <w:color w:val="auto"/>
          <w:sz w:val="24"/>
        </w:rPr>
        <w:t>：</w:t>
      </w:r>
    </w:p>
    <w:p w14:paraId="02B5A3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</w:pPr>
      <w:r>
        <w:rPr>
          <w:rStyle w:val="12"/>
          <w:rFonts w:hint="eastAsia" w:ascii="宋体" w:hAnsi="宋体" w:cs="RVMNJC+FZSSJW--GB1-0"/>
          <w:kern w:val="0"/>
          <w:sz w:val="24"/>
          <w:szCs w:val="24"/>
          <w:lang w:val="en-US" w:eastAsia="zh-CN"/>
        </w:rPr>
        <w:t>大参林：</w:t>
      </w:r>
      <w:r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  <w:t>药品零售企业全方位开展药学服务的实践与探索</w:t>
      </w:r>
    </w:p>
    <w:p w14:paraId="3627D1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老百姓</w:t>
      </w:r>
      <w:r>
        <w:rPr>
          <w:rStyle w:val="12"/>
          <w:rFonts w:hint="eastAsia" w:ascii="宋体" w:hAnsi="宋体" w:cs="RVMNJC+FZSSJW--GB1-0"/>
          <w:sz w:val="24"/>
          <w:lang w:eastAsia="zh-CN"/>
        </w:rPr>
        <w:t>：</w:t>
      </w:r>
      <w:r>
        <w:rPr>
          <w:rStyle w:val="12"/>
          <w:rFonts w:hint="eastAsia" w:ascii="宋体" w:hAnsi="宋体" w:eastAsia="宋体" w:cs="RVMNJC+FZSSJW--GB1-0"/>
          <w:sz w:val="24"/>
        </w:rPr>
        <w:t>夯实ESG管理，守护百姓健康</w:t>
      </w:r>
    </w:p>
    <w:p w14:paraId="5AE8B4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益丰</w:t>
      </w:r>
      <w:r>
        <w:rPr>
          <w:rStyle w:val="12"/>
          <w:rFonts w:hint="eastAsia" w:ascii="宋体" w:hAnsi="宋体" w:cs="RVMNJC+FZSSJW--GB1-0"/>
          <w:sz w:val="24"/>
          <w:lang w:eastAsia="zh-CN"/>
        </w:rPr>
        <w:t>：</w:t>
      </w:r>
      <w:r>
        <w:rPr>
          <w:rStyle w:val="12"/>
          <w:rFonts w:hint="eastAsia" w:ascii="宋体" w:hAnsi="宋体" w:eastAsia="宋体" w:cs="RVMNJC+FZSSJW--GB1-0"/>
          <w:sz w:val="24"/>
        </w:rPr>
        <w:t>驱动可持续发展，引领行业未来</w:t>
      </w:r>
    </w:p>
    <w:p w14:paraId="5847816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Style w:val="12"/>
          <w:rFonts w:hint="eastAsia" w:ascii="宋体" w:hAnsi="宋体" w:eastAsia="宋体" w:cs="RVMNJC+FZSSJW--GB1-0"/>
          <w:sz w:val="24"/>
        </w:rPr>
        <w:t>健之佳：创新驱动慢性疾病管理，助力全民健康水平提升</w:t>
      </w:r>
    </w:p>
    <w:p w14:paraId="115630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sz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高济健康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：</w:t>
      </w:r>
      <w:r>
        <w:rPr>
          <w:rStyle w:val="12"/>
          <w:rFonts w:hint="eastAsia" w:ascii="宋体" w:hAnsi="宋体" w:eastAsia="宋体" w:cs="RVMNJC+FZSSJW--GB1-0"/>
          <w:sz w:val="24"/>
        </w:rPr>
        <w:t>零售药店在甲状腺疾病预防和治疗中的药学服务实践</w:t>
      </w:r>
    </w:p>
    <w:p w14:paraId="60548B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同仁堂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：</w:t>
      </w:r>
      <w:r>
        <w:rPr>
          <w:rStyle w:val="12"/>
          <w:rFonts w:hint="eastAsia" w:ascii="宋体" w:hAnsi="宋体" w:eastAsia="宋体" w:cs="RVMNJC+FZSSJW--GB1-0"/>
          <w:sz w:val="24"/>
        </w:rPr>
        <w:t>中医药文化在零售药店的创新实践</w:t>
      </w:r>
    </w:p>
    <w:p w14:paraId="74C729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德生堂：中国医药连锁创新经营的引领者和实践者</w:t>
      </w:r>
    </w:p>
    <w:p w14:paraId="17E4C5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sz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德信行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：</w:t>
      </w:r>
      <w:r>
        <w:rPr>
          <w:rStyle w:val="12"/>
          <w:rFonts w:hint="eastAsia" w:ascii="宋体" w:hAnsi="宋体" w:eastAsia="宋体" w:cs="RVMNJC+FZSSJW--GB1-0"/>
          <w:sz w:val="24"/>
          <w:lang w:eastAsia="zh-CN"/>
        </w:rPr>
        <w:t>数字化时代医药零售企业转型思考</w:t>
      </w:r>
    </w:p>
    <w:p w14:paraId="5D4CC2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2"/>
          <w:rFonts w:hint="eastAsia" w:ascii="宋体" w:hAnsi="宋体" w:cs="RVMNJC+FZSSJW--GB1-0"/>
          <w:kern w:val="0"/>
          <w:sz w:val="24"/>
          <w:szCs w:val="24"/>
          <w:lang w:val="en-US" w:eastAsia="zh-CN"/>
        </w:rPr>
        <w:t>华润广东：</w:t>
      </w:r>
      <w:r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  <w:t>DTP药房视角下药物警戒与药学服务新模式的实践探索与思考</w:t>
      </w:r>
    </w:p>
    <w:p w14:paraId="61309C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</w:pPr>
      <w:r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  <w:t>人民同泰：创建DTP药房药学服务药联体的实践与探索</w:t>
      </w:r>
    </w:p>
    <w:p w14:paraId="2C15E4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2"/>
          <w:rFonts w:hint="eastAsia" w:ascii="宋体" w:hAnsi="宋体" w:cs="RVMNJC+FZSSJW--GB1-0"/>
          <w:sz w:val="24"/>
          <w:lang w:val="en-US" w:eastAsia="zh-CN"/>
        </w:rPr>
        <w:t>圆心：</w:t>
      </w:r>
      <w:r>
        <w:rPr>
          <w:rStyle w:val="12"/>
          <w:rFonts w:hint="eastAsia" w:ascii="宋体" w:hAnsi="宋体" w:eastAsia="宋体" w:cs="RVMNJC+FZSSJW--GB1-0"/>
          <w:sz w:val="24"/>
        </w:rPr>
        <w:t>商业保险助力专业药房发展的探讨</w:t>
      </w:r>
    </w:p>
    <w:p w14:paraId="23F7D6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40" w:lineRule="exact"/>
        <w:ind w:leftChars="0"/>
        <w:contextualSpacing/>
        <w:textAlignment w:val="auto"/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</w:pPr>
      <w:r>
        <w:rPr>
          <w:rStyle w:val="12"/>
          <w:rFonts w:hint="eastAsia" w:ascii="宋体" w:hAnsi="宋体" w:cs="RVMNJC+FZSSJW--GB1-0"/>
          <w:sz w:val="24"/>
          <w:lang w:val="en-US" w:eastAsia="zh-CN"/>
        </w:rPr>
        <w:t>美团</w:t>
      </w:r>
      <w:bookmarkStart w:id="0" w:name="_GoBack"/>
      <w:bookmarkEnd w:id="0"/>
      <w:r>
        <w:rPr>
          <w:rStyle w:val="12"/>
          <w:rFonts w:hint="eastAsia" w:ascii="宋体" w:hAnsi="宋体" w:eastAsia="宋体" w:cs="RVMNJC+FZSSJW--GB1-0"/>
          <w:sz w:val="24"/>
        </w:rPr>
        <w:t>：数字化时代的服务场景重构与价值创新</w:t>
      </w:r>
    </w:p>
    <w:p w14:paraId="495F6A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340" w:lineRule="exact"/>
        <w:contextualSpacing/>
        <w:textAlignment w:val="auto"/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</w:pPr>
      <w:r>
        <w:rPr>
          <w:rStyle w:val="12"/>
          <w:rFonts w:hint="eastAsia" w:ascii="宋体" w:hAnsi="宋体" w:cs="RVMNJC+FZSSJW--GB1-0"/>
          <w:b/>
          <w:bCs/>
          <w:kern w:val="0"/>
          <w:sz w:val="24"/>
          <w:szCs w:val="24"/>
          <w:lang w:val="en-US" w:eastAsia="zh-CN"/>
        </w:rPr>
        <w:t>国际视野</w:t>
      </w:r>
      <w:r>
        <w:rPr>
          <w:rStyle w:val="12"/>
          <w:rFonts w:ascii="宋体" w:hAnsi="宋体" w:eastAsia="宋体" w:cs="RVMNJC+FZSSJW--GB1-0"/>
          <w:b/>
          <w:bCs/>
          <w:kern w:val="0"/>
          <w:sz w:val="24"/>
          <w:szCs w:val="24"/>
        </w:rPr>
        <w:t>：</w:t>
      </w:r>
    </w:p>
    <w:p w14:paraId="7F049AD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contextualSpacing/>
        <w:textAlignment w:val="auto"/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</w:pPr>
      <w:r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  <w:t>国外零售药店服务功能比较分析</w:t>
      </w:r>
    </w:p>
    <w:p w14:paraId="671C283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contextualSpacing/>
        <w:textAlignment w:val="auto"/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</w:pPr>
      <w:r>
        <w:rPr>
          <w:rStyle w:val="12"/>
          <w:rFonts w:hint="eastAsia" w:ascii="宋体" w:hAnsi="宋体" w:eastAsia="宋体" w:cs="RVMNJC+FZSSJW--GB1-0"/>
          <w:kern w:val="0"/>
          <w:sz w:val="24"/>
          <w:szCs w:val="24"/>
        </w:rPr>
        <w:t>日本医药分开历程及药妆店稳定增长的源泉</w:t>
      </w:r>
    </w:p>
    <w:p w14:paraId="26847256">
      <w:pPr>
        <w:pStyle w:val="9"/>
        <w:spacing w:line="276" w:lineRule="auto"/>
        <w:jc w:val="center"/>
        <w:rPr>
          <w:rFonts w:hint="eastAsia"/>
          <w:sz w:val="44"/>
          <w:szCs w:val="44"/>
        </w:rPr>
      </w:pPr>
    </w:p>
    <w:p w14:paraId="43967AE6">
      <w:pPr>
        <w:pStyle w:val="9"/>
        <w:spacing w:line="276" w:lineRule="auto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</w:t>
      </w:r>
      <w:r>
        <w:rPr>
          <w:rFonts w:hint="eastAsia"/>
          <w:sz w:val="44"/>
          <w:szCs w:val="44"/>
          <w:lang w:val="en-US" w:eastAsia="zh-CN"/>
        </w:rPr>
        <w:t>5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val="en-US" w:eastAsia="zh-CN"/>
        </w:rPr>
        <w:t>药品零售</w:t>
      </w:r>
      <w:r>
        <w:rPr>
          <w:rFonts w:hint="eastAsia"/>
          <w:sz w:val="44"/>
          <w:szCs w:val="44"/>
        </w:rPr>
        <w:t>蓝皮书征订单</w:t>
      </w: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651"/>
        <w:gridCol w:w="1241"/>
        <w:gridCol w:w="1559"/>
        <w:gridCol w:w="1134"/>
        <w:gridCol w:w="1701"/>
      </w:tblGrid>
      <w:tr w14:paraId="73FF6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61" w:type="dxa"/>
            <w:vAlign w:val="center"/>
          </w:tcPr>
          <w:p w14:paraId="372F642C">
            <w:pPr>
              <w:pStyle w:val="9"/>
              <w:jc w:val="center"/>
              <w:rPr>
                <w:rStyle w:val="12"/>
                <w:rFonts w:ascii="宋体" w:eastAsia="宋体"/>
                <w:sz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订购单位</w:t>
            </w:r>
          </w:p>
        </w:tc>
        <w:tc>
          <w:tcPr>
            <w:tcW w:w="2651" w:type="dxa"/>
            <w:vAlign w:val="center"/>
          </w:tcPr>
          <w:p w14:paraId="7D69EDC1">
            <w:pPr>
              <w:rPr>
                <w:rFonts w:ascii="宋体" w:hAnsi="宋体"/>
                <w:color w:val="211D1E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10134FE3">
            <w:pPr>
              <w:pStyle w:val="9"/>
              <w:jc w:val="center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收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件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1559" w:type="dxa"/>
            <w:vAlign w:val="center"/>
          </w:tcPr>
          <w:p w14:paraId="34DFB0FB">
            <w:pPr>
              <w:pStyle w:val="16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  <w:tc>
          <w:tcPr>
            <w:tcW w:w="1134" w:type="dxa"/>
            <w:vAlign w:val="center"/>
          </w:tcPr>
          <w:p w14:paraId="6A6FE512">
            <w:pPr>
              <w:pStyle w:val="9"/>
              <w:jc w:val="center"/>
              <w:rPr>
                <w:rFonts w:ascii="Calibri" w:eastAsia="宋体" w:cs="宋体"/>
                <w:color w:val="211D1E"/>
              </w:rPr>
            </w:pPr>
            <w:r>
              <w:rPr>
                <w:rStyle w:val="12"/>
                <w:rFonts w:hint="eastAsia"/>
                <w:sz w:val="24"/>
              </w:rPr>
              <w:t>手   机</w:t>
            </w:r>
          </w:p>
        </w:tc>
        <w:tc>
          <w:tcPr>
            <w:tcW w:w="1701" w:type="dxa"/>
            <w:vAlign w:val="center"/>
          </w:tcPr>
          <w:p w14:paraId="6F8B7EC1">
            <w:pPr>
              <w:pStyle w:val="16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</w:tr>
      <w:tr w14:paraId="668C4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61" w:type="dxa"/>
            <w:vAlign w:val="center"/>
          </w:tcPr>
          <w:p w14:paraId="471982B7">
            <w:pPr>
              <w:pStyle w:val="9"/>
              <w:jc w:val="center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地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址</w:t>
            </w:r>
          </w:p>
        </w:tc>
        <w:tc>
          <w:tcPr>
            <w:tcW w:w="3892" w:type="dxa"/>
            <w:gridSpan w:val="2"/>
            <w:vAlign w:val="center"/>
          </w:tcPr>
          <w:p w14:paraId="19A08BC7">
            <w:pPr>
              <w:pStyle w:val="16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  <w:tc>
          <w:tcPr>
            <w:tcW w:w="1559" w:type="dxa"/>
            <w:vAlign w:val="center"/>
          </w:tcPr>
          <w:p w14:paraId="170096B9">
            <w:pPr>
              <w:pStyle w:val="9"/>
              <w:jc w:val="center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邮   箱</w:t>
            </w:r>
          </w:p>
        </w:tc>
        <w:tc>
          <w:tcPr>
            <w:tcW w:w="2835" w:type="dxa"/>
            <w:gridSpan w:val="2"/>
            <w:vAlign w:val="center"/>
          </w:tcPr>
          <w:p w14:paraId="3CB9DB51">
            <w:pPr>
              <w:pStyle w:val="16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</w:tr>
      <w:tr w14:paraId="3298B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112" w:type="dxa"/>
            <w:gridSpan w:val="2"/>
            <w:vAlign w:val="center"/>
          </w:tcPr>
          <w:p w14:paraId="602D0A47">
            <w:pPr>
              <w:pStyle w:val="16"/>
              <w:ind w:firstLine="240" w:firstLineChars="100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每本定价：198元</w:t>
            </w:r>
          </w:p>
        </w:tc>
        <w:tc>
          <w:tcPr>
            <w:tcW w:w="5635" w:type="dxa"/>
            <w:gridSpan w:val="4"/>
            <w:vAlign w:val="center"/>
          </w:tcPr>
          <w:p w14:paraId="47AE6714">
            <w:pPr>
              <w:pStyle w:val="16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eastAsia="宋体"/>
                <w:sz w:val="24"/>
              </w:rPr>
              <w:t>数量：   本</w:t>
            </w:r>
          </w:p>
        </w:tc>
      </w:tr>
      <w:tr w14:paraId="438C2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4112" w:type="dxa"/>
            <w:gridSpan w:val="2"/>
            <w:vAlign w:val="center"/>
          </w:tcPr>
          <w:p w14:paraId="27077BF4">
            <w:pPr>
              <w:pStyle w:val="16"/>
              <w:ind w:firstLine="240" w:firstLineChars="100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总金额</w:t>
            </w:r>
            <w:r>
              <w:rPr>
                <w:rStyle w:val="12"/>
                <w:rFonts w:ascii="宋体" w:hAnsi="宋体" w:eastAsia="宋体" w:cs="宋体"/>
                <w:sz w:val="24"/>
              </w:rPr>
              <w:t>(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小写</w:t>
            </w:r>
            <w:r>
              <w:rPr>
                <w:rStyle w:val="12"/>
                <w:rFonts w:ascii="宋体" w:hAnsi="宋体" w:eastAsia="宋体" w:cs="宋体"/>
                <w:sz w:val="24"/>
              </w:rPr>
              <w:t>)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：      元</w:t>
            </w:r>
          </w:p>
        </w:tc>
        <w:tc>
          <w:tcPr>
            <w:tcW w:w="5635" w:type="dxa"/>
            <w:gridSpan w:val="4"/>
            <w:vAlign w:val="center"/>
          </w:tcPr>
          <w:p w14:paraId="78450D6F">
            <w:pPr>
              <w:pStyle w:val="9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总金额</w:t>
            </w:r>
            <w:r>
              <w:rPr>
                <w:rStyle w:val="12"/>
                <w:rFonts w:ascii="宋体" w:hAnsi="宋体" w:eastAsia="宋体" w:cs="宋体"/>
                <w:sz w:val="24"/>
              </w:rPr>
              <w:t>(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大写</w:t>
            </w:r>
            <w:r>
              <w:rPr>
                <w:rStyle w:val="12"/>
                <w:rFonts w:ascii="宋体" w:hAnsi="宋体" w:eastAsia="宋体" w:cs="宋体"/>
                <w:sz w:val="24"/>
              </w:rPr>
              <w:t>)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 xml:space="preserve">：  万 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 xml:space="preserve">仟 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 xml:space="preserve">佰 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拾  元整</w:t>
            </w:r>
          </w:p>
        </w:tc>
      </w:tr>
      <w:tr w14:paraId="2C253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112" w:type="dxa"/>
            <w:gridSpan w:val="2"/>
            <w:vAlign w:val="center"/>
          </w:tcPr>
          <w:p w14:paraId="780C0CAF">
            <w:pPr>
              <w:pStyle w:val="9"/>
              <w:ind w:firstLine="240" w:firstLineChars="100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汇款日期：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 xml:space="preserve">  年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Style w:val="12"/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 xml:space="preserve">  日</w:t>
            </w:r>
          </w:p>
        </w:tc>
        <w:tc>
          <w:tcPr>
            <w:tcW w:w="5635" w:type="dxa"/>
            <w:gridSpan w:val="4"/>
            <w:vAlign w:val="center"/>
          </w:tcPr>
          <w:p w14:paraId="536CBF80">
            <w:pPr>
              <w:pStyle w:val="9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如集体订阅需要分户邮寄刊物，请另付分户邮寄的详细地址、收件人及联系方式</w:t>
            </w:r>
          </w:p>
        </w:tc>
      </w:tr>
      <w:tr w14:paraId="5DB31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9747" w:type="dxa"/>
            <w:gridSpan w:val="6"/>
            <w:vAlign w:val="center"/>
          </w:tcPr>
          <w:p w14:paraId="6BD11097">
            <w:pPr>
              <w:pStyle w:val="9"/>
              <w:jc w:val="both"/>
              <w:rPr>
                <w:rStyle w:val="12"/>
                <w:rFonts w:ascii="宋体" w:hAnsi="宋体" w:eastAsia="宋体" w:cs="宋体"/>
                <w:b/>
                <w:sz w:val="24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sz w:val="24"/>
              </w:rPr>
              <w:t>企业开票信息</w:t>
            </w:r>
          </w:p>
          <w:p w14:paraId="06192636">
            <w:pPr>
              <w:pStyle w:val="9"/>
              <w:jc w:val="both"/>
              <w:rPr>
                <w:rStyle w:val="11"/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企业名称：</w:t>
            </w:r>
          </w:p>
          <w:p w14:paraId="46E25227">
            <w:pPr>
              <w:pStyle w:val="9"/>
              <w:jc w:val="both"/>
              <w:rPr>
                <w:rStyle w:val="11"/>
                <w:color w:val="211D1E"/>
                <w:sz w:val="28"/>
                <w:szCs w:val="28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纳税人识别号：</w:t>
            </w:r>
          </w:p>
          <w:p w14:paraId="42FFEDAA">
            <w:pPr>
              <w:pStyle w:val="9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单位地址及电话：</w:t>
            </w:r>
          </w:p>
          <w:p w14:paraId="4F3EC62E">
            <w:pPr>
              <w:pStyle w:val="9"/>
              <w:jc w:val="both"/>
              <w:rPr>
                <w:rFonts w:ascii="宋体" w:hAnsi="宋体" w:eastAsia="宋体" w:cs="宋体"/>
                <w:color w:val="211D1E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211D1E"/>
              </w:rPr>
              <w:t>开户行及账号：</w:t>
            </w:r>
          </w:p>
        </w:tc>
      </w:tr>
      <w:tr w14:paraId="3A36A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  <w:jc w:val="center"/>
        </w:trPr>
        <w:tc>
          <w:tcPr>
            <w:tcW w:w="9747" w:type="dxa"/>
            <w:gridSpan w:val="6"/>
            <w:vAlign w:val="center"/>
          </w:tcPr>
          <w:p w14:paraId="17B85B3A">
            <w:pPr>
              <w:pStyle w:val="9"/>
              <w:jc w:val="both"/>
              <w:rPr>
                <w:rStyle w:val="12"/>
                <w:rFonts w:ascii="宋体" w:hAnsi="宋体" w:eastAsia="宋体" w:cs="宋体"/>
                <w:sz w:val="24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sz w:val="24"/>
              </w:rPr>
              <w:t>银行汇款请汇至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：</w:t>
            </w:r>
          </w:p>
          <w:p w14:paraId="049C2527">
            <w:pPr>
              <w:pStyle w:val="9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 xml:space="preserve">开户行：中国工商银行北京学院路支行           </w:t>
            </w:r>
          </w:p>
          <w:p w14:paraId="5C701CCB">
            <w:pPr>
              <w:pStyle w:val="9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账</w:t>
            </w:r>
            <w:r>
              <w:rPr>
                <w:rStyle w:val="11"/>
                <w:rFonts w:ascii="宋体" w:hAnsi="宋体" w:eastAsia="宋体" w:cs="宋体"/>
                <w:color w:val="211D1E"/>
              </w:rPr>
              <w:t xml:space="preserve">  </w:t>
            </w: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号：</w:t>
            </w:r>
            <w:r>
              <w:rPr>
                <w:rStyle w:val="11"/>
                <w:rFonts w:ascii="宋体" w:hAnsi="宋体" w:eastAsia="宋体" w:cs="宋体"/>
                <w:color w:val="211D1E"/>
              </w:rPr>
              <w:t>0200025509014407924</w:t>
            </w:r>
          </w:p>
          <w:p w14:paraId="5DACF4E3">
            <w:pPr>
              <w:pStyle w:val="9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户</w:t>
            </w:r>
            <w:r>
              <w:rPr>
                <w:rStyle w:val="11"/>
                <w:rFonts w:ascii="宋体" w:hAnsi="宋体" w:eastAsia="宋体" w:cs="宋体"/>
                <w:color w:val="211D1E"/>
              </w:rPr>
              <w:t xml:space="preserve">  </w:t>
            </w: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名：中国医药商业协会</w:t>
            </w:r>
          </w:p>
          <w:p w14:paraId="5392ED88">
            <w:pPr>
              <w:pStyle w:val="9"/>
              <w:jc w:val="both"/>
              <w:rPr>
                <w:rStyle w:val="12"/>
                <w:rFonts w:ascii="宋体" w:hAnsi="宋体" w:eastAsia="宋体" w:cs="宋体"/>
                <w:sz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</w:rPr>
              <w:t>汇款时请备注“购买</w:t>
            </w:r>
            <w:r>
              <w:rPr>
                <w:rStyle w:val="12"/>
                <w:rFonts w:hint="eastAsia" w:ascii="宋体" w:hAnsi="宋体" w:eastAsia="宋体" w:cs="宋体"/>
                <w:sz w:val="24"/>
                <w:lang w:val="en-US" w:eastAsia="zh-CN"/>
              </w:rPr>
              <w:t>2025药品零售</w:t>
            </w:r>
            <w:r>
              <w:rPr>
                <w:rStyle w:val="12"/>
                <w:rFonts w:hint="eastAsia" w:ascii="宋体" w:hAnsi="宋体" w:eastAsia="宋体" w:cs="宋体"/>
                <w:sz w:val="24"/>
              </w:rPr>
              <w:t>蓝皮书”</w:t>
            </w:r>
          </w:p>
          <w:p w14:paraId="41DCAD37">
            <w:pPr>
              <w:pStyle w:val="9"/>
              <w:jc w:val="both"/>
              <w:rPr>
                <w:rStyle w:val="11"/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 xml:space="preserve">                                                      </w:t>
            </w:r>
          </w:p>
          <w:p w14:paraId="3A15D013">
            <w:pPr>
              <w:pStyle w:val="9"/>
              <w:jc w:val="both"/>
              <w:rPr>
                <w:rStyle w:val="11"/>
                <w:rFonts w:hint="eastAsia" w:ascii="宋体" w:hAnsi="宋体" w:eastAsia="宋体" w:cs="宋体"/>
                <w:color w:val="211D1E"/>
                <w:lang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  <w:lang w:val="en-US" w:eastAsia="zh-CN"/>
              </w:rPr>
              <w:t>订购</w:t>
            </w: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联系人：</w:t>
            </w:r>
          </w:p>
          <w:p w14:paraId="3F86B898">
            <w:pPr>
              <w:pStyle w:val="9"/>
              <w:jc w:val="both"/>
              <w:rPr>
                <w:rFonts w:ascii="宋体" w:hAnsi="宋体" w:eastAsia="宋体" w:cs="宋体"/>
                <w:color w:val="211D1E"/>
                <w:sz w:val="22"/>
                <w:szCs w:val="22"/>
              </w:rPr>
            </w:pPr>
            <w:r>
              <w:rPr>
                <w:rStyle w:val="11"/>
                <w:rFonts w:hint="eastAsia" w:ascii="宋体" w:hAnsi="宋体" w:eastAsia="宋体" w:cs="宋体"/>
                <w:color w:val="211D1E"/>
              </w:rPr>
              <w:t>电</w:t>
            </w:r>
            <w:r>
              <w:rPr>
                <w:rStyle w:val="11"/>
                <w:rFonts w:ascii="宋体" w:hAnsi="宋体" w:eastAsia="宋体" w:cs="宋体"/>
                <w:color w:val="211D1E"/>
              </w:rPr>
              <w:t xml:space="preserve"> </w:t>
            </w:r>
            <w:r>
              <w:rPr>
                <w:rStyle w:val="11"/>
                <w:rFonts w:hint="eastAsia" w:ascii="宋体" w:hAnsi="宋体" w:eastAsia="宋体" w:cs="宋体"/>
                <w:color w:val="211D1E"/>
              </w:rPr>
              <w:t xml:space="preserve"> 话：</w:t>
            </w:r>
            <w:r>
              <w:rPr>
                <w:rStyle w:val="11"/>
                <w:rFonts w:hint="eastAsia" w:ascii="宋体" w:hAnsi="宋体" w:eastAsia="宋体" w:cs="宋体"/>
                <w:color w:val="211D1E"/>
                <w:lang w:val="en-US" w:eastAsia="zh-CN"/>
              </w:rPr>
              <w:t xml:space="preserve"> </w:t>
            </w:r>
          </w:p>
        </w:tc>
      </w:tr>
    </w:tbl>
    <w:p w14:paraId="45DCA207">
      <w:pPr>
        <w:pStyle w:val="9"/>
        <w:rPr>
          <w:rStyle w:val="11"/>
          <w:rFonts w:ascii="宋体" w:hAnsi="宋体" w:eastAsia="宋体" w:cs="宋体"/>
          <w:color w:val="211D1E"/>
          <w:sz w:val="22"/>
          <w:szCs w:val="22"/>
        </w:rPr>
      </w:pPr>
    </w:p>
    <w:p w14:paraId="6417546E">
      <w:pPr>
        <w:pStyle w:val="9"/>
        <w:rPr>
          <w:rFonts w:ascii="宋体" w:hAnsi="宋体" w:eastAsia="宋体" w:cs="宋体"/>
          <w:color w:val="211D1E"/>
          <w:sz w:val="22"/>
          <w:szCs w:val="22"/>
        </w:rPr>
      </w:pPr>
      <w:r>
        <w:rPr>
          <w:rStyle w:val="11"/>
          <w:rFonts w:hint="eastAsia" w:ascii="宋体" w:hAnsi="宋体" w:eastAsia="宋体" w:cs="宋体"/>
          <w:color w:val="211D1E"/>
          <w:sz w:val="22"/>
          <w:szCs w:val="22"/>
        </w:rPr>
        <w:t>注：购书开具增值税</w:t>
      </w:r>
      <w:r>
        <w:rPr>
          <w:rStyle w:val="11"/>
          <w:rFonts w:hint="eastAsia" w:ascii="宋体" w:hAnsi="宋体" w:eastAsia="宋体" w:cs="宋体"/>
          <w:color w:val="211D1E"/>
          <w:sz w:val="22"/>
          <w:szCs w:val="22"/>
          <w:lang w:val="en-US" w:eastAsia="zh-CN"/>
        </w:rPr>
        <w:t>电子</w:t>
      </w:r>
      <w:r>
        <w:rPr>
          <w:rStyle w:val="11"/>
          <w:rFonts w:hint="eastAsia" w:ascii="宋体" w:hAnsi="宋体" w:eastAsia="宋体" w:cs="宋体"/>
          <w:color w:val="211D1E"/>
          <w:sz w:val="22"/>
          <w:szCs w:val="22"/>
        </w:rPr>
        <w:t>发票，内容为“资料费”。</w:t>
      </w:r>
    </w:p>
    <w:sectPr>
      <w:type w:val="continuous"/>
      <w:pgSz w:w="11906" w:h="16838"/>
      <w:pgMar w:top="1135" w:right="1080" w:bottom="1440" w:left="1080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VMNJC+FZHTJW--GB1-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RVMNJC+FZSSJW--GB1-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9E5168"/>
    <w:multiLevelType w:val="multilevel"/>
    <w:tmpl w:val="599E516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attachedTemplate r:id="rId1"/>
  <w:documentProtection w:enforcement="0"/>
  <w:defaultTabStop w:val="72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800"/>
  <w:drawingGridVerticalOrigin w:val="1440"/>
  <w:doNotShadeFormData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RiMGIzY2ZlZTUwYjc0NmI3NDgxMDBhNGQzYTRkMDgifQ=="/>
  </w:docVars>
  <w:rsids>
    <w:rsidRoot w:val="007A6DFC"/>
    <w:rsid w:val="00004280"/>
    <w:rsid w:val="00022FD0"/>
    <w:rsid w:val="00027F9E"/>
    <w:rsid w:val="00046130"/>
    <w:rsid w:val="000467A3"/>
    <w:rsid w:val="000607DC"/>
    <w:rsid w:val="000877A8"/>
    <w:rsid w:val="00092ADA"/>
    <w:rsid w:val="000B2834"/>
    <w:rsid w:val="000C122B"/>
    <w:rsid w:val="000C18CE"/>
    <w:rsid w:val="000F3C41"/>
    <w:rsid w:val="001127FD"/>
    <w:rsid w:val="00122D7E"/>
    <w:rsid w:val="00126E26"/>
    <w:rsid w:val="00131B27"/>
    <w:rsid w:val="00135BF2"/>
    <w:rsid w:val="00146D04"/>
    <w:rsid w:val="00192174"/>
    <w:rsid w:val="00192A87"/>
    <w:rsid w:val="001C01FF"/>
    <w:rsid w:val="001D726E"/>
    <w:rsid w:val="001D7ACB"/>
    <w:rsid w:val="002077EA"/>
    <w:rsid w:val="00211A03"/>
    <w:rsid w:val="002352B4"/>
    <w:rsid w:val="002538BA"/>
    <w:rsid w:val="00263EE5"/>
    <w:rsid w:val="002723DB"/>
    <w:rsid w:val="002960EF"/>
    <w:rsid w:val="002A34C5"/>
    <w:rsid w:val="002A4A60"/>
    <w:rsid w:val="002A70A4"/>
    <w:rsid w:val="002C598E"/>
    <w:rsid w:val="002D4251"/>
    <w:rsid w:val="002E75E5"/>
    <w:rsid w:val="002F0854"/>
    <w:rsid w:val="002F744D"/>
    <w:rsid w:val="00300092"/>
    <w:rsid w:val="0032510A"/>
    <w:rsid w:val="00342C2C"/>
    <w:rsid w:val="00374E48"/>
    <w:rsid w:val="00384F37"/>
    <w:rsid w:val="003A14E0"/>
    <w:rsid w:val="003A2E84"/>
    <w:rsid w:val="003B70E3"/>
    <w:rsid w:val="003D222F"/>
    <w:rsid w:val="003D74B6"/>
    <w:rsid w:val="003F2C7E"/>
    <w:rsid w:val="003F45F6"/>
    <w:rsid w:val="003F5EA3"/>
    <w:rsid w:val="004018C1"/>
    <w:rsid w:val="0041664F"/>
    <w:rsid w:val="00442002"/>
    <w:rsid w:val="004462B1"/>
    <w:rsid w:val="00452AF4"/>
    <w:rsid w:val="00457A50"/>
    <w:rsid w:val="0047403E"/>
    <w:rsid w:val="00482B27"/>
    <w:rsid w:val="004845EF"/>
    <w:rsid w:val="00486DE4"/>
    <w:rsid w:val="004A5357"/>
    <w:rsid w:val="004B58EA"/>
    <w:rsid w:val="004D314B"/>
    <w:rsid w:val="004E468F"/>
    <w:rsid w:val="004E4965"/>
    <w:rsid w:val="004E4D59"/>
    <w:rsid w:val="00503A61"/>
    <w:rsid w:val="00526041"/>
    <w:rsid w:val="00537210"/>
    <w:rsid w:val="00546630"/>
    <w:rsid w:val="005576F1"/>
    <w:rsid w:val="00561FE0"/>
    <w:rsid w:val="00563951"/>
    <w:rsid w:val="00564CAA"/>
    <w:rsid w:val="00584153"/>
    <w:rsid w:val="005A7C37"/>
    <w:rsid w:val="005B1826"/>
    <w:rsid w:val="005C04A9"/>
    <w:rsid w:val="005D034C"/>
    <w:rsid w:val="005D4578"/>
    <w:rsid w:val="005F48E5"/>
    <w:rsid w:val="00603F81"/>
    <w:rsid w:val="00605F3B"/>
    <w:rsid w:val="00613751"/>
    <w:rsid w:val="00631157"/>
    <w:rsid w:val="006332AA"/>
    <w:rsid w:val="00661245"/>
    <w:rsid w:val="00672931"/>
    <w:rsid w:val="0068635A"/>
    <w:rsid w:val="006A2C20"/>
    <w:rsid w:val="006B23B1"/>
    <w:rsid w:val="006C42C7"/>
    <w:rsid w:val="006C5011"/>
    <w:rsid w:val="006D52BD"/>
    <w:rsid w:val="006F2D99"/>
    <w:rsid w:val="006F7F99"/>
    <w:rsid w:val="00703A0E"/>
    <w:rsid w:val="0070409D"/>
    <w:rsid w:val="00704AFE"/>
    <w:rsid w:val="007113DA"/>
    <w:rsid w:val="007202B1"/>
    <w:rsid w:val="00730012"/>
    <w:rsid w:val="007324B4"/>
    <w:rsid w:val="00777C52"/>
    <w:rsid w:val="00787734"/>
    <w:rsid w:val="00795A42"/>
    <w:rsid w:val="007A6DFC"/>
    <w:rsid w:val="007C5D7F"/>
    <w:rsid w:val="007D25B1"/>
    <w:rsid w:val="007D474C"/>
    <w:rsid w:val="007E6C21"/>
    <w:rsid w:val="00813277"/>
    <w:rsid w:val="008159B6"/>
    <w:rsid w:val="00826831"/>
    <w:rsid w:val="0083143E"/>
    <w:rsid w:val="00834361"/>
    <w:rsid w:val="00840A4F"/>
    <w:rsid w:val="008451BB"/>
    <w:rsid w:val="00861896"/>
    <w:rsid w:val="00861D1D"/>
    <w:rsid w:val="008735FE"/>
    <w:rsid w:val="00885CE8"/>
    <w:rsid w:val="00885D84"/>
    <w:rsid w:val="00897F4B"/>
    <w:rsid w:val="00897F4F"/>
    <w:rsid w:val="008E2CA5"/>
    <w:rsid w:val="008F3AEE"/>
    <w:rsid w:val="009340E5"/>
    <w:rsid w:val="0094031F"/>
    <w:rsid w:val="0094048B"/>
    <w:rsid w:val="009524FD"/>
    <w:rsid w:val="00964F32"/>
    <w:rsid w:val="00970FD1"/>
    <w:rsid w:val="00974468"/>
    <w:rsid w:val="0097535E"/>
    <w:rsid w:val="00982EBA"/>
    <w:rsid w:val="00992FA2"/>
    <w:rsid w:val="009A1122"/>
    <w:rsid w:val="009B018A"/>
    <w:rsid w:val="009B6987"/>
    <w:rsid w:val="009C1DC4"/>
    <w:rsid w:val="009E0E08"/>
    <w:rsid w:val="009E6D88"/>
    <w:rsid w:val="009F1AD7"/>
    <w:rsid w:val="00A01DA4"/>
    <w:rsid w:val="00A03D2E"/>
    <w:rsid w:val="00A043E6"/>
    <w:rsid w:val="00A16516"/>
    <w:rsid w:val="00A2104B"/>
    <w:rsid w:val="00A21C77"/>
    <w:rsid w:val="00A37343"/>
    <w:rsid w:val="00A4180F"/>
    <w:rsid w:val="00A600B8"/>
    <w:rsid w:val="00A75458"/>
    <w:rsid w:val="00A9280B"/>
    <w:rsid w:val="00A9378E"/>
    <w:rsid w:val="00AA2A97"/>
    <w:rsid w:val="00AA48EC"/>
    <w:rsid w:val="00AB3118"/>
    <w:rsid w:val="00AB619C"/>
    <w:rsid w:val="00AE2A19"/>
    <w:rsid w:val="00B448A8"/>
    <w:rsid w:val="00B64EF3"/>
    <w:rsid w:val="00B879F5"/>
    <w:rsid w:val="00B9560C"/>
    <w:rsid w:val="00BA21C1"/>
    <w:rsid w:val="00BB1622"/>
    <w:rsid w:val="00BE5B90"/>
    <w:rsid w:val="00BF4335"/>
    <w:rsid w:val="00C00C38"/>
    <w:rsid w:val="00C053AD"/>
    <w:rsid w:val="00C158B5"/>
    <w:rsid w:val="00C236ED"/>
    <w:rsid w:val="00C2572C"/>
    <w:rsid w:val="00C275A0"/>
    <w:rsid w:val="00C34866"/>
    <w:rsid w:val="00C625C8"/>
    <w:rsid w:val="00C87DFC"/>
    <w:rsid w:val="00CB77EB"/>
    <w:rsid w:val="00CE0091"/>
    <w:rsid w:val="00CE7982"/>
    <w:rsid w:val="00CF3A22"/>
    <w:rsid w:val="00D23804"/>
    <w:rsid w:val="00D30C25"/>
    <w:rsid w:val="00D42FDC"/>
    <w:rsid w:val="00D6523E"/>
    <w:rsid w:val="00D67BC2"/>
    <w:rsid w:val="00D76F6F"/>
    <w:rsid w:val="00D8397D"/>
    <w:rsid w:val="00D8509C"/>
    <w:rsid w:val="00D92A2D"/>
    <w:rsid w:val="00DD282B"/>
    <w:rsid w:val="00E060A2"/>
    <w:rsid w:val="00E144D2"/>
    <w:rsid w:val="00E1630A"/>
    <w:rsid w:val="00E314AD"/>
    <w:rsid w:val="00E43CAB"/>
    <w:rsid w:val="00E46372"/>
    <w:rsid w:val="00E64485"/>
    <w:rsid w:val="00E65B4A"/>
    <w:rsid w:val="00E70ED5"/>
    <w:rsid w:val="00E828F6"/>
    <w:rsid w:val="00E82BCA"/>
    <w:rsid w:val="00E91737"/>
    <w:rsid w:val="00E944A4"/>
    <w:rsid w:val="00EA2889"/>
    <w:rsid w:val="00EC40C4"/>
    <w:rsid w:val="00EE2C37"/>
    <w:rsid w:val="00EE5799"/>
    <w:rsid w:val="00EE5C81"/>
    <w:rsid w:val="00F23EAF"/>
    <w:rsid w:val="00F272F9"/>
    <w:rsid w:val="00F305A8"/>
    <w:rsid w:val="00F474D7"/>
    <w:rsid w:val="00F54695"/>
    <w:rsid w:val="00F66644"/>
    <w:rsid w:val="00F76B56"/>
    <w:rsid w:val="00F800D6"/>
    <w:rsid w:val="00F80C26"/>
    <w:rsid w:val="00FA4DC7"/>
    <w:rsid w:val="00FA5F0C"/>
    <w:rsid w:val="00FB3013"/>
    <w:rsid w:val="00FD6F3A"/>
    <w:rsid w:val="00FD7C8D"/>
    <w:rsid w:val="041D18D5"/>
    <w:rsid w:val="12074290"/>
    <w:rsid w:val="1285603A"/>
    <w:rsid w:val="16CA74AC"/>
    <w:rsid w:val="1B7E21A9"/>
    <w:rsid w:val="1F273A1E"/>
    <w:rsid w:val="200263D6"/>
    <w:rsid w:val="2247770D"/>
    <w:rsid w:val="2286582A"/>
    <w:rsid w:val="2CBB1BF8"/>
    <w:rsid w:val="37662523"/>
    <w:rsid w:val="47BC567F"/>
    <w:rsid w:val="49F82210"/>
    <w:rsid w:val="4AEF5CD6"/>
    <w:rsid w:val="503C7433"/>
    <w:rsid w:val="51890BBF"/>
    <w:rsid w:val="54FF39F7"/>
    <w:rsid w:val="5B441759"/>
    <w:rsid w:val="60331E3C"/>
    <w:rsid w:val="63976673"/>
    <w:rsid w:val="69DC657B"/>
    <w:rsid w:val="73EA119A"/>
    <w:rsid w:val="75E338C3"/>
    <w:rsid w:val="78A6114B"/>
    <w:rsid w:val="7E146E75"/>
    <w:rsid w:val="7FC7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rFonts w:cs="Times New Roman"/>
      <w:sz w:val="18"/>
      <w:szCs w:val="18"/>
      <w:lang w:val="zh-CN" w:eastAsia="zh-CN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zh-CN" w:eastAsia="zh-CN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  <w:lang w:val="zh-CN" w:eastAsia="zh-CN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脚 字符"/>
    <w:link w:val="3"/>
    <w:semiHidden/>
    <w:qFormat/>
    <w:locked/>
    <w:uiPriority w:val="99"/>
    <w:rPr>
      <w:rFonts w:cs="宋体"/>
      <w:sz w:val="18"/>
      <w:szCs w:val="18"/>
    </w:rPr>
  </w:style>
  <w:style w:type="paragraph" w:customStyle="1" w:styleId="9">
    <w:name w:val="Pa0"/>
    <w:basedOn w:val="10"/>
    <w:next w:val="10"/>
    <w:qFormat/>
    <w:uiPriority w:val="99"/>
    <w:pPr>
      <w:spacing w:line="241" w:lineRule="atLeast"/>
    </w:pPr>
  </w:style>
  <w:style w:type="paragraph" w:customStyle="1" w:styleId="10">
    <w:name w:val="Default"/>
    <w:qFormat/>
    <w:uiPriority w:val="99"/>
    <w:pPr>
      <w:widowControl w:val="0"/>
      <w:autoSpaceDE w:val="0"/>
      <w:autoSpaceDN w:val="0"/>
    </w:pPr>
    <w:rPr>
      <w:rFonts w:ascii="RVMNJC+FZHTJW--GB1-0" w:hAnsi="Calibri" w:eastAsia="RVMNJC+FZHTJW--GB1-0" w:cs="RVMNJC+FZHTJW--GB1-0"/>
      <w:color w:val="000000"/>
      <w:sz w:val="24"/>
      <w:szCs w:val="24"/>
      <w:lang w:val="en-US" w:eastAsia="zh-CN" w:bidi="ar-SA"/>
    </w:rPr>
  </w:style>
  <w:style w:type="character" w:customStyle="1" w:styleId="11">
    <w:name w:val="A0"/>
    <w:qFormat/>
    <w:uiPriority w:val="99"/>
    <w:rPr>
      <w:color w:val="233F8F"/>
    </w:rPr>
  </w:style>
  <w:style w:type="character" w:customStyle="1" w:styleId="12">
    <w:name w:val="A1"/>
    <w:qFormat/>
    <w:uiPriority w:val="99"/>
    <w:rPr>
      <w:rFonts w:ascii="RVMNJC+FZSSJW--GB1-0" w:eastAsia="RVMNJC+FZSSJW--GB1-0"/>
      <w:color w:val="211D1E"/>
      <w:sz w:val="22"/>
    </w:rPr>
  </w:style>
  <w:style w:type="character" w:customStyle="1" w:styleId="13">
    <w:name w:val="页眉 字符"/>
    <w:link w:val="4"/>
    <w:semiHidden/>
    <w:qFormat/>
    <w:locked/>
    <w:uiPriority w:val="99"/>
    <w:rPr>
      <w:rFonts w:cs="宋体"/>
      <w:sz w:val="18"/>
      <w:szCs w:val="18"/>
    </w:rPr>
  </w:style>
  <w:style w:type="character" w:customStyle="1" w:styleId="14">
    <w:name w:val="页眉 Char1"/>
    <w:semiHidden/>
    <w:qFormat/>
    <w:uiPriority w:val="99"/>
    <w:rPr>
      <w:rFonts w:cs="宋体"/>
      <w:sz w:val="18"/>
      <w:szCs w:val="18"/>
    </w:rPr>
  </w:style>
  <w:style w:type="character" w:customStyle="1" w:styleId="15">
    <w:name w:val="页脚 Char1"/>
    <w:semiHidden/>
    <w:qFormat/>
    <w:uiPriority w:val="99"/>
    <w:rPr>
      <w:rFonts w:cs="宋体"/>
      <w:sz w:val="18"/>
      <w:szCs w:val="18"/>
    </w:rPr>
  </w:style>
  <w:style w:type="paragraph" w:customStyle="1" w:styleId="16">
    <w:name w:val="Pa1"/>
    <w:basedOn w:val="10"/>
    <w:next w:val="10"/>
    <w:qFormat/>
    <w:uiPriority w:val="99"/>
    <w:pPr>
      <w:spacing w:line="241" w:lineRule="atLeast"/>
    </w:pPr>
  </w:style>
  <w:style w:type="character" w:customStyle="1" w:styleId="17">
    <w:name w:val="批注框文本 字符"/>
    <w:link w:val="2"/>
    <w:semiHidden/>
    <w:qFormat/>
    <w:uiPriority w:val="99"/>
    <w:rPr>
      <w:rFonts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ainan\Desktop\&#21327;&#20250;\&#26434;&#24535;&#24449;&#35746;\&#20013;&#22269;&#33647;&#21697;&#27969;&#36890;&#26434;&#24535;&#24449;&#35746;&#21333;2013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402A75-00B5-475F-9AB0-6328978466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中国药品流通杂志征订单2013.dot</Template>
  <Pages>2</Pages>
  <Words>1074</Words>
  <Characters>1130</Characters>
  <Lines>8</Lines>
  <Paragraphs>2</Paragraphs>
  <TotalTime>2</TotalTime>
  <ScaleCrop>false</ScaleCrop>
  <LinksUpToDate>false</LinksUpToDate>
  <CharactersWithSpaces>1247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2023-05-31T00:12:00Z</dcterms:created>
  <dc:creator>lisainan</dc:creator>
  <cp:lastModifiedBy>  </cp:lastModifiedBy>
  <cp:lastPrinted>2025-06-20T03:24:00Z</cp:lastPrinted>
  <dcterms:modified xsi:type="dcterms:W3CDTF">2025-06-20T03:42:50Z</dcterms:modified>
  <dc:title>指导：中华人民共和国商务部市场秩序司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65F9883B06AA46B8A6FC99F78A53E3EE_13</vt:lpwstr>
  </property>
  <property fmtid="{D5CDD505-2E9C-101B-9397-08002B2CF9AE}" pid="4" name="KSOTemplateDocerSaveRecord">
    <vt:lpwstr>eyJoZGlkIjoiNmRiMGIzY2ZlZTUwYjc0NmI3NDgxMDBhNGQzYTRkMDgiLCJ1c2VySWQiOiI0NzYxMTI0NzYifQ==</vt:lpwstr>
  </property>
</Properties>
</file>