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jc w:val="both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附件1</w:t>
      </w:r>
    </w:p>
    <w:p>
      <w:pPr>
        <w:pStyle w:val="2"/>
        <w:shd w:val="clear" w:color="auto" w:fill="FFFFFF"/>
        <w:spacing w:after="0" w:afterAutospacing="0"/>
        <w:jc w:val="center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医药行业</w:t>
      </w:r>
      <w:r>
        <w:rPr>
          <w:rFonts w:ascii="仿宋_GB2312" w:hAnsi="微软雅黑" w:eastAsia="仿宋_GB2312"/>
          <w:b/>
          <w:bCs/>
          <w:spacing w:val="12"/>
          <w:sz w:val="30"/>
          <w:szCs w:val="30"/>
        </w:rPr>
        <w:t>ESG</w:t>
      </w: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评估体系建设和管理实践的可行性研究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1.项目概述</w:t>
      </w:r>
    </w:p>
    <w:p>
      <w:pPr>
        <w:pStyle w:val="2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中国医药商业协会于2023年5月正式成立ESG分会，旨在推动医药行业建立ESG相关指南、体系和技术能力，引导企业积极践行ESG理念，推动医药行业创新、协调、绿色、开放、共享的高质量发展。在此背景下，中国医药商业协会拟开展“医药行业ESG体系建设和管理实践”课题研究。</w:t>
      </w:r>
    </w:p>
    <w:p>
      <w:pPr>
        <w:pStyle w:val="2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第一阶段，通过邀请行业内外的专家研讨、企业调研等活动开展上述课题的可行性研究工作；</w:t>
      </w:r>
    </w:p>
    <w:p>
      <w:pPr>
        <w:pStyle w:val="2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第二阶段，在可行性研究的基础上，分层次、分阶段进行深入研究；</w:t>
      </w:r>
    </w:p>
    <w:p>
      <w:pPr>
        <w:pStyle w:val="2"/>
        <w:shd w:val="clear" w:color="auto" w:fill="FFFFFF"/>
        <w:spacing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第三阶段，在第二阶段课题研究成果基础上，进行典型案例总结和示范的评定工作。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2.项目计划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时间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：3-6个月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组织：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由中国医药商业协会组织行业内、外专家共同完成。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方法：</w:t>
      </w:r>
      <w:r>
        <w:rPr>
          <w:rFonts w:hint="eastAsia" w:ascii="仿宋_GB2312" w:hAnsi="微软雅黑" w:eastAsia="仿宋_GB2312"/>
          <w:spacing w:val="12"/>
          <w:sz w:val="30"/>
          <w:szCs w:val="30"/>
        </w:rPr>
        <w:t>问卷调查、企业调研、数据收集、行业内外专家论证等。</w:t>
      </w:r>
    </w:p>
    <w:p>
      <w:pPr>
        <w:pStyle w:val="2"/>
        <w:shd w:val="clear" w:color="auto" w:fill="FFFFFF"/>
        <w:spacing w:after="0" w:afterAutospacing="0"/>
        <w:ind w:firstLine="650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b/>
          <w:bCs/>
          <w:spacing w:val="12"/>
          <w:sz w:val="30"/>
          <w:szCs w:val="30"/>
        </w:rPr>
        <w:t>3.主要交付成果（第一阶段）</w:t>
      </w:r>
    </w:p>
    <w:p>
      <w:pPr>
        <w:pStyle w:val="2"/>
        <w:shd w:val="clear" w:color="auto" w:fill="FFFFFF"/>
        <w:spacing w:before="0" w:beforeAutospacing="0" w:after="0" w:afterAutospacing="0"/>
        <w:ind w:firstLine="648" w:firstLineChars="200"/>
        <w:rPr>
          <w:rFonts w:ascii="仿宋_GB2312" w:hAnsi="微软雅黑" w:eastAsia="仿宋_GB2312"/>
          <w:spacing w:val="12"/>
          <w:sz w:val="30"/>
          <w:szCs w:val="30"/>
        </w:rPr>
      </w:pPr>
      <w:r>
        <w:rPr>
          <w:rFonts w:hint="eastAsia" w:ascii="仿宋_GB2312" w:hAnsi="微软雅黑" w:eastAsia="仿宋_GB2312"/>
          <w:spacing w:val="12"/>
          <w:sz w:val="30"/>
          <w:szCs w:val="30"/>
        </w:rPr>
        <w:t>“医药行业ESG体系建设和管理实践”的可行性研究报告。内容包括：行业和企业调研成果、典型案例研究、课题相关的可行性论证、下一阶段目标、任务计划、资源计划、技术应用等。</w:t>
      </w:r>
    </w:p>
    <w:p>
      <w:pPr>
        <w:widowControl/>
        <w:jc w:val="left"/>
        <w:rPr>
          <w:rFonts w:ascii="仿宋_GB2312" w:hAnsi="微软雅黑" w:eastAsia="仿宋_GB2312" w:cs="宋体"/>
          <w:spacing w:val="12"/>
          <w:kern w:val="0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JhYjM0OGNmYTVjNzU0Njk0MTEzOTBjZjM4NmRlNzAifQ=="/>
  </w:docVars>
  <w:rsids>
    <w:rsidRoot w:val="00000000"/>
    <w:rsid w:val="230A7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2023-05-26T07:35:12Z</dcterms:created>
  <dc:creator>dell</dc:creator>
  <cp:lastModifiedBy>陈聪</cp:lastModifiedBy>
  <dcterms:modified xsi:type="dcterms:W3CDTF">2023-05-26T07:35:42Z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AF8A2E559AAA49DBB99B56F7E9809AFE_12</vt:lpwstr>
  </property>
</Properties>
</file>