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0" w:afterAutospacing="0"/>
        <w:jc w:val="both"/>
        <w:rPr>
          <w:rFonts w:ascii="仿宋_GB2312" w:hAnsi="微软雅黑" w:eastAsia="仿宋_GB2312"/>
          <w:b/>
          <w:bCs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附件</w:t>
      </w:r>
      <w:r>
        <w:rPr>
          <w:rFonts w:ascii="仿宋_GB2312" w:hAnsi="微软雅黑" w:eastAsia="仿宋_GB2312"/>
          <w:b/>
          <w:bCs/>
          <w:spacing w:val="12"/>
          <w:sz w:val="30"/>
          <w:szCs w:val="30"/>
        </w:rPr>
        <w:t>2</w:t>
      </w:r>
    </w:p>
    <w:p>
      <w:pPr>
        <w:pStyle w:val="2"/>
        <w:shd w:val="clear" w:color="auto" w:fill="FFFFFF"/>
        <w:spacing w:after="0" w:afterAutospacing="0"/>
        <w:jc w:val="center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医药行业“零碳”战略规划和管理实践课题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1.项目概述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中国医药商业协会于2023年5月正式成立ESG分会，旨在推动医药行业建立ESG相关标准、体系和技术能力，引导企业积极践行ESG理念，推动“双碳”目标和供应链新生态建设，实现绿色可持续发展。在此背景下，中国医药商业协会拟开展“医药行业“零碳”战略规划和管理实践”课题研究。课题将涉及以下重点领域：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1）碳排放管理：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企业碳盘查与碳核查、企业碳管理体系建设及认证、供应链碳中和管理、产品碳足迹管理；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2）碳战略管理：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气候变化和可再生能源战略、碳中和情景分析、科学碳目标设定、碳中和中长期战略路径；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3）碳金融服务：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碳中和债券、基金设计与开发、碳资产管理、碳交易管理、园区绿色发展和低碳发展战略规划；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2.项目计划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时间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：第一阶段6-12个月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组织：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由中国医药商业协会组织医药行业企业、专业机构、行业内、外专家共同完成。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方法：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企业调研、资源对接、项目规划、项目实施、最佳实践案例推广等。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3.主要交付成果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“医药行业‘零碳’战略规划和管理实践”的阶段性研究成果，内容包括：政策、趋势分析、企业调研成果，管理实践、技术应用等典型案例汇编等。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YjM0OGNmYTVjNzU0Njk0MTEzOTBjZjM4NmRlNzAifQ=="/>
  </w:docVars>
  <w:rsids>
    <w:rsidRoot w:val="00000000"/>
    <w:rsid w:val="0608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2023-05-26T07:36:01Z</dcterms:created>
  <dc:creator>dell</dc:creator>
  <cp:lastModifiedBy>陈聪</cp:lastModifiedBy>
  <dcterms:modified xsi:type="dcterms:W3CDTF">2023-05-26T07:36:15Z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4905686E510C40B88FE172FC93261DC2_12</vt:lpwstr>
  </property>
</Properties>
</file>