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30"/>
          <w:szCs w:val="30"/>
        </w:rPr>
      </w:pPr>
      <w:r>
        <w:rPr>
          <w:rFonts w:hint="eastAsia" w:ascii="仿宋" w:hAnsi="仿宋" w:eastAsia="仿宋" w:cs="仿宋"/>
          <w:sz w:val="30"/>
          <w:szCs w:val="30"/>
        </w:rPr>
        <w:t>附件2：</w:t>
      </w:r>
    </w:p>
    <w:p>
      <w:pPr>
        <w:jc w:val="center"/>
        <w:rPr>
          <w:rFonts w:hint="eastAsia" w:ascii="仿宋" w:hAnsi="仿宋" w:eastAsia="仿宋" w:cs="仿宋"/>
          <w:b/>
          <w:sz w:val="32"/>
          <w:szCs w:val="32"/>
        </w:rPr>
      </w:pPr>
    </w:p>
    <w:p>
      <w:pPr>
        <w:pStyle w:val="7"/>
        <w:widowControl w:val="0"/>
        <w:numPr>
          <w:ilvl w:val="0"/>
          <w:numId w:val="0"/>
        </w:numPr>
        <w:topLinePunct/>
        <w:spacing w:before="156" w:beforeLines="50" w:after="156" w:afterLines="50" w:line="360" w:lineRule="exact"/>
        <w:jc w:val="center"/>
        <w:outlineLvl w:val="9"/>
        <w:rPr>
          <w:rFonts w:hint="eastAsia" w:ascii="仿宋" w:hAnsi="仿宋" w:eastAsia="仿宋" w:cs="仿宋"/>
          <w:sz w:val="32"/>
          <w:szCs w:val="32"/>
        </w:rPr>
      </w:pPr>
      <w:r>
        <w:rPr>
          <w:rFonts w:hint="eastAsia" w:ascii="仿宋" w:hAnsi="仿宋" w:eastAsia="仿宋" w:cs="仿宋"/>
          <w:b/>
          <w:bCs/>
          <w:sz w:val="32"/>
          <w:szCs w:val="32"/>
        </w:rPr>
        <w:t>零售药店经营特殊疾病药品服务规范</w:t>
      </w:r>
      <w:bookmarkStart w:id="0" w:name="_Toc306797728"/>
      <w:bookmarkStart w:id="1" w:name="BKCKWX"/>
      <w:bookmarkStart w:id="2" w:name="_Toc312066896"/>
      <w:r>
        <w:rPr>
          <w:rFonts w:hint="eastAsia" w:ascii="仿宋" w:hAnsi="仿宋" w:eastAsia="仿宋" w:cs="仿宋"/>
          <w:b/>
          <w:sz w:val="32"/>
          <w:szCs w:val="32"/>
        </w:rPr>
        <w:t>（试行）</w:t>
      </w:r>
    </w:p>
    <w:p>
      <w:pPr>
        <w:pStyle w:val="7"/>
        <w:widowControl w:val="0"/>
        <w:numPr>
          <w:ilvl w:val="0"/>
          <w:numId w:val="0"/>
        </w:numPr>
        <w:topLinePunct/>
        <w:spacing w:before="156" w:beforeLines="50" w:after="156" w:afterLines="50"/>
        <w:ind w:left="420"/>
        <w:jc w:val="left"/>
        <w:outlineLvl w:val="9"/>
        <w:rPr>
          <w:rFonts w:hint="eastAsia" w:hAnsi="黑体" w:cs="黑体"/>
          <w:kern w:val="24"/>
          <w:szCs w:val="21"/>
        </w:rPr>
      </w:pPr>
    </w:p>
    <w:p>
      <w:pPr>
        <w:pStyle w:val="7"/>
        <w:widowControl w:val="0"/>
        <w:numPr>
          <w:ilvl w:val="0"/>
          <w:numId w:val="0"/>
        </w:numPr>
        <w:topLinePunct/>
        <w:spacing w:before="156" w:beforeLines="50" w:after="156" w:afterLines="50"/>
        <w:jc w:val="left"/>
        <w:outlineLvl w:val="9"/>
        <w:rPr>
          <w:rFonts w:hint="eastAsia" w:hAnsi="黑体" w:cs="黑体"/>
          <w:color w:val="auto"/>
          <w:kern w:val="24"/>
          <w:szCs w:val="21"/>
        </w:rPr>
      </w:pPr>
      <w:r>
        <w:rPr>
          <w:rFonts w:hint="eastAsia" w:hAnsi="黑体" w:cs="黑体"/>
          <w:color w:val="auto"/>
          <w:kern w:val="24"/>
          <w:szCs w:val="21"/>
        </w:rPr>
        <w:t>1  范围</w:t>
      </w:r>
    </w:p>
    <w:p>
      <w:pPr>
        <w:pStyle w:val="8"/>
        <w:rPr>
          <w:rFonts w:hint="eastAsia"/>
          <w:color w:val="auto"/>
        </w:rPr>
      </w:pPr>
    </w:p>
    <w:p>
      <w:pPr>
        <w:pStyle w:val="8"/>
        <w:tabs>
          <w:tab w:val="center" w:pos="0"/>
          <w:tab w:val="clear" w:pos="4201"/>
        </w:tabs>
        <w:jc w:val="left"/>
        <w:rPr>
          <w:rFonts w:hint="eastAsia" w:hAnsi="宋体" w:cs="宋体"/>
          <w:color w:val="auto"/>
          <w:kern w:val="24"/>
          <w:szCs w:val="21"/>
        </w:rPr>
      </w:pPr>
      <w:r>
        <w:rPr>
          <w:rFonts w:hint="eastAsia" w:hAnsi="宋体" w:cs="宋体"/>
          <w:color w:val="auto"/>
          <w:kern w:val="24"/>
          <w:szCs w:val="21"/>
        </w:rPr>
        <w:t>本标准规范了零售药店经营特殊疾病药品的人员与培训、经营服务环境、信息系统管理、冷链药品管理、药学服务管理、药物警戒管理以及制度</w:t>
      </w:r>
      <w:r>
        <w:rPr>
          <w:rFonts w:hint="eastAsia" w:hAnsi="宋体" w:cs="宋体"/>
          <w:color w:val="auto"/>
          <w:kern w:val="24"/>
          <w:szCs w:val="21"/>
          <w:lang w:eastAsia="zh-CN"/>
        </w:rPr>
        <w:t>建设</w:t>
      </w:r>
      <w:r>
        <w:rPr>
          <w:rFonts w:hint="eastAsia" w:hAnsi="宋体" w:cs="宋体"/>
          <w:color w:val="auto"/>
          <w:kern w:val="24"/>
          <w:szCs w:val="21"/>
        </w:rPr>
        <w:t>等。</w:t>
      </w:r>
    </w:p>
    <w:p>
      <w:pPr>
        <w:pStyle w:val="8"/>
        <w:tabs>
          <w:tab w:val="center" w:pos="567"/>
          <w:tab w:val="clear" w:pos="4201"/>
        </w:tabs>
        <w:ind w:left="630" w:hanging="630" w:hangingChars="300"/>
        <w:jc w:val="left"/>
        <w:rPr>
          <w:rFonts w:hint="eastAsia" w:hAnsi="宋体" w:cs="宋体"/>
          <w:color w:val="auto"/>
          <w:kern w:val="24"/>
          <w:szCs w:val="21"/>
        </w:rPr>
      </w:pPr>
      <w:r>
        <w:rPr>
          <w:rFonts w:hint="eastAsia" w:hAnsi="宋体" w:cs="宋体"/>
          <w:color w:val="auto"/>
          <w:kern w:val="24"/>
          <w:szCs w:val="21"/>
        </w:rPr>
        <w:t xml:space="preserve">    本规范适用于中华人民共和国境内经营特殊疾病药品的零售药店（以下简称“特药药房”）。</w:t>
      </w:r>
    </w:p>
    <w:p>
      <w:pPr>
        <w:pStyle w:val="8"/>
        <w:rPr>
          <w:rFonts w:hint="eastAsia"/>
          <w:color w:val="auto"/>
        </w:rPr>
      </w:pPr>
    </w:p>
    <w:p>
      <w:pPr>
        <w:pStyle w:val="7"/>
        <w:widowControl w:val="0"/>
        <w:numPr>
          <w:ilvl w:val="0"/>
          <w:numId w:val="0"/>
        </w:numPr>
        <w:topLinePunct/>
        <w:spacing w:before="156" w:beforeLines="50" w:after="156" w:afterLines="50"/>
        <w:jc w:val="left"/>
        <w:outlineLvl w:val="9"/>
        <w:rPr>
          <w:rFonts w:hint="eastAsia" w:hAnsi="黑体" w:cs="黑体"/>
          <w:color w:val="auto"/>
          <w:kern w:val="24"/>
          <w:szCs w:val="21"/>
        </w:rPr>
      </w:pPr>
      <w:r>
        <w:rPr>
          <w:rFonts w:hint="eastAsia" w:hAnsi="黑体" w:cs="黑体"/>
          <w:color w:val="auto"/>
          <w:kern w:val="24"/>
          <w:szCs w:val="21"/>
        </w:rPr>
        <w:t>2  规范性引用文件</w:t>
      </w:r>
    </w:p>
    <w:p>
      <w:pPr>
        <w:pStyle w:val="8"/>
        <w:rPr>
          <w:rFonts w:hint="eastAsia"/>
          <w:color w:val="auto"/>
        </w:rPr>
      </w:pPr>
    </w:p>
    <w:p>
      <w:pPr>
        <w:pStyle w:val="8"/>
        <w:widowControl w:val="0"/>
        <w:topLinePunct/>
        <w:autoSpaceDE/>
        <w:autoSpaceDN/>
        <w:spacing w:before="156" w:beforeLines="50" w:after="156" w:afterLines="50"/>
        <w:jc w:val="left"/>
        <w:rPr>
          <w:rFonts w:hint="eastAsia" w:hAnsi="宋体" w:cs="宋体"/>
          <w:color w:val="auto"/>
          <w:kern w:val="24"/>
          <w:szCs w:val="21"/>
        </w:rPr>
      </w:pPr>
      <w:r>
        <w:rPr>
          <w:rFonts w:hint="eastAsia" w:hAnsi="宋体" w:cs="宋体"/>
          <w:color w:val="auto"/>
          <w:kern w:val="24"/>
          <w:szCs w:val="21"/>
        </w:rPr>
        <w:t>下列文件对于本文件的应用是必不可少的。凡是注日期的引用文件，仅所注日期的版本适用于本文件。凡是不注日期的引用文件，其最新版本（包括所有的修改单）适用于本文件。</w:t>
      </w:r>
    </w:p>
    <w:p>
      <w:pPr>
        <w:pStyle w:val="8"/>
        <w:tabs>
          <w:tab w:val="center" w:pos="567"/>
          <w:tab w:val="clear" w:pos="4201"/>
        </w:tabs>
        <w:jc w:val="left"/>
        <w:rPr>
          <w:rFonts w:hint="eastAsia" w:hAnsi="宋体" w:cs="宋体"/>
          <w:color w:val="auto"/>
          <w:kern w:val="24"/>
          <w:szCs w:val="21"/>
        </w:rPr>
      </w:pPr>
      <w:r>
        <w:rPr>
          <w:rFonts w:hint="eastAsia" w:hAnsi="宋体" w:cs="宋体"/>
          <w:color w:val="auto"/>
          <w:kern w:val="24"/>
          <w:szCs w:val="21"/>
        </w:rPr>
        <w:t>“健康中国2030”规划纲要</w:t>
      </w:r>
      <w:r>
        <w:rPr>
          <w:rFonts w:hint="eastAsia" w:hAnsi="宋体" w:cs="宋体"/>
          <w:color w:val="auto"/>
          <w:kern w:val="24"/>
          <w:szCs w:val="21"/>
          <w:lang w:val="en-US" w:eastAsia="zh-CN"/>
        </w:rPr>
        <w:t xml:space="preserve">  </w:t>
      </w:r>
      <w:r>
        <w:rPr>
          <w:rFonts w:hint="eastAsia" w:hAnsi="宋体" w:cs="宋体"/>
          <w:color w:val="auto"/>
          <w:kern w:val="24"/>
          <w:szCs w:val="21"/>
        </w:rPr>
        <w:t>中共中央、国务院</w:t>
      </w:r>
    </w:p>
    <w:p>
      <w:pPr>
        <w:pStyle w:val="8"/>
        <w:tabs>
          <w:tab w:val="center" w:pos="567"/>
          <w:tab w:val="clear" w:pos="4201"/>
        </w:tabs>
        <w:jc w:val="left"/>
        <w:rPr>
          <w:rFonts w:hint="eastAsia" w:hAnsi="宋体" w:cs="宋体"/>
          <w:color w:val="auto"/>
          <w:kern w:val="24"/>
          <w:szCs w:val="21"/>
        </w:rPr>
      </w:pPr>
      <w:r>
        <w:rPr>
          <w:rFonts w:hint="eastAsia" w:hAnsi="宋体" w:cs="宋体"/>
          <w:color w:val="auto"/>
          <w:kern w:val="24"/>
          <w:szCs w:val="21"/>
        </w:rPr>
        <w:t>中华人民共和国药品管理法</w:t>
      </w:r>
      <w:r>
        <w:rPr>
          <w:rFonts w:hint="eastAsia" w:hAnsi="宋体" w:cs="宋体"/>
          <w:color w:val="auto"/>
          <w:kern w:val="24"/>
          <w:szCs w:val="21"/>
          <w:lang w:val="en-US" w:eastAsia="zh-CN"/>
        </w:rPr>
        <w:t xml:space="preserve">  </w:t>
      </w:r>
      <w:r>
        <w:rPr>
          <w:rFonts w:hint="eastAsia" w:hAnsi="宋体" w:cs="宋体"/>
          <w:color w:val="auto"/>
          <w:kern w:val="24"/>
          <w:szCs w:val="21"/>
        </w:rPr>
        <w:t>中华人民共和国主席令第45号</w:t>
      </w:r>
    </w:p>
    <w:p>
      <w:pPr>
        <w:pStyle w:val="8"/>
        <w:tabs>
          <w:tab w:val="center" w:pos="567"/>
          <w:tab w:val="clear" w:pos="4201"/>
        </w:tabs>
        <w:jc w:val="left"/>
        <w:rPr>
          <w:rFonts w:hint="eastAsia" w:hAnsi="宋体" w:cs="宋体"/>
          <w:color w:val="auto"/>
          <w:kern w:val="24"/>
          <w:szCs w:val="21"/>
        </w:rPr>
      </w:pPr>
      <w:r>
        <w:rPr>
          <w:rFonts w:hint="eastAsia" w:hAnsi="宋体" w:cs="宋体"/>
          <w:color w:val="auto"/>
          <w:kern w:val="24"/>
          <w:szCs w:val="21"/>
        </w:rPr>
        <w:t>中华人民共和国药品管理法实施条例</w:t>
      </w:r>
      <w:r>
        <w:rPr>
          <w:rFonts w:hint="eastAsia" w:hAnsi="宋体" w:cs="宋体"/>
          <w:color w:val="auto"/>
          <w:kern w:val="24"/>
          <w:szCs w:val="21"/>
          <w:lang w:val="en-US" w:eastAsia="zh-CN"/>
        </w:rPr>
        <w:t xml:space="preserve">  </w:t>
      </w:r>
      <w:r>
        <w:rPr>
          <w:rFonts w:hint="eastAsia" w:hAnsi="宋体" w:cs="宋体"/>
          <w:color w:val="auto"/>
          <w:kern w:val="24"/>
          <w:szCs w:val="21"/>
        </w:rPr>
        <w:t>中华人民共和国国务院令第360号</w:t>
      </w:r>
    </w:p>
    <w:p>
      <w:pPr>
        <w:pStyle w:val="8"/>
        <w:tabs>
          <w:tab w:val="center" w:pos="567"/>
          <w:tab w:val="clear" w:pos="4201"/>
        </w:tabs>
        <w:jc w:val="left"/>
        <w:rPr>
          <w:rFonts w:hint="eastAsia" w:hAnsi="宋体" w:cs="宋体"/>
          <w:color w:val="auto"/>
          <w:kern w:val="24"/>
          <w:szCs w:val="21"/>
        </w:rPr>
      </w:pPr>
      <w:r>
        <w:rPr>
          <w:rFonts w:hint="eastAsia" w:hAnsi="宋体" w:cs="宋体"/>
          <w:color w:val="auto"/>
          <w:kern w:val="24"/>
          <w:szCs w:val="21"/>
          <w:lang w:eastAsia="zh-CN"/>
        </w:rPr>
        <w:t>药品</w:t>
      </w:r>
      <w:r>
        <w:rPr>
          <w:rFonts w:hint="eastAsia" w:hAnsi="宋体" w:cs="宋体"/>
          <w:color w:val="auto"/>
          <w:kern w:val="24"/>
          <w:szCs w:val="21"/>
        </w:rPr>
        <w:t>经营质量管理规范</w:t>
      </w:r>
      <w:r>
        <w:rPr>
          <w:rFonts w:hint="eastAsia" w:hAnsi="宋体" w:cs="宋体"/>
          <w:color w:val="auto"/>
          <w:kern w:val="24"/>
          <w:szCs w:val="21"/>
          <w:lang w:val="en-US" w:eastAsia="zh-CN"/>
        </w:rPr>
        <w:t xml:space="preserve">  </w:t>
      </w:r>
      <w:r>
        <w:rPr>
          <w:rFonts w:hint="eastAsia" w:hAnsi="宋体" w:cs="宋体"/>
          <w:color w:val="auto"/>
          <w:kern w:val="24"/>
          <w:szCs w:val="21"/>
        </w:rPr>
        <w:t>原国家食品药品监督管理总局令第28号</w:t>
      </w:r>
    </w:p>
    <w:p>
      <w:pPr>
        <w:pStyle w:val="8"/>
        <w:tabs>
          <w:tab w:val="center" w:pos="567"/>
          <w:tab w:val="clear" w:pos="4201"/>
        </w:tabs>
        <w:jc w:val="left"/>
        <w:rPr>
          <w:rFonts w:hint="eastAsia" w:hAnsi="宋体" w:cs="宋体"/>
          <w:color w:val="auto"/>
          <w:kern w:val="24"/>
          <w:szCs w:val="21"/>
        </w:rPr>
      </w:pPr>
      <w:r>
        <w:rPr>
          <w:rFonts w:hint="eastAsia" w:hAnsi="宋体" w:cs="宋体"/>
          <w:color w:val="auto"/>
          <w:kern w:val="24"/>
          <w:szCs w:val="21"/>
        </w:rPr>
        <w:t>关于修改与</w:t>
      </w:r>
      <w:r>
        <w:rPr>
          <w:rFonts w:hint="eastAsia" w:hAnsi="宋体" w:cs="宋体"/>
          <w:color w:val="auto"/>
          <w:kern w:val="24"/>
          <w:szCs w:val="21"/>
          <w:lang w:eastAsia="zh-CN"/>
        </w:rPr>
        <w:t>《</w:t>
      </w:r>
      <w:r>
        <w:rPr>
          <w:rFonts w:hint="eastAsia" w:hAnsi="宋体" w:cs="宋体"/>
          <w:color w:val="auto"/>
          <w:kern w:val="24"/>
          <w:szCs w:val="21"/>
        </w:rPr>
        <w:t>药品经营质量管理规范</w:t>
      </w:r>
      <w:r>
        <w:rPr>
          <w:rFonts w:hint="eastAsia" w:hAnsi="宋体" w:cs="宋体"/>
          <w:color w:val="auto"/>
          <w:kern w:val="24"/>
          <w:szCs w:val="21"/>
          <w:lang w:eastAsia="zh-CN"/>
        </w:rPr>
        <w:t>》</w:t>
      </w:r>
      <w:r>
        <w:rPr>
          <w:rFonts w:hint="eastAsia" w:hAnsi="宋体" w:cs="宋体"/>
          <w:color w:val="auto"/>
          <w:kern w:val="24"/>
          <w:szCs w:val="21"/>
        </w:rPr>
        <w:t>相关的冷藏、冷冻药品的储存与运输管理等5个附录文件的公告</w:t>
      </w:r>
      <w:r>
        <w:rPr>
          <w:rFonts w:hint="eastAsia" w:hAnsi="宋体" w:cs="宋体"/>
          <w:color w:val="auto"/>
          <w:kern w:val="24"/>
          <w:szCs w:val="21"/>
          <w:lang w:val="en-US" w:eastAsia="zh-CN"/>
        </w:rPr>
        <w:t xml:space="preserve">  </w:t>
      </w:r>
      <w:r>
        <w:rPr>
          <w:rFonts w:hint="eastAsia" w:hAnsi="宋体" w:cs="宋体"/>
          <w:color w:val="auto"/>
          <w:kern w:val="24"/>
          <w:szCs w:val="21"/>
        </w:rPr>
        <w:t>原国家食品药品监督管理总局2016年第197号</w:t>
      </w:r>
    </w:p>
    <w:p>
      <w:pPr>
        <w:pStyle w:val="8"/>
        <w:tabs>
          <w:tab w:val="center" w:pos="567"/>
          <w:tab w:val="clear" w:pos="4201"/>
        </w:tabs>
        <w:jc w:val="left"/>
        <w:rPr>
          <w:rFonts w:hint="eastAsia" w:hAnsi="宋体" w:cs="宋体"/>
          <w:color w:val="auto"/>
          <w:kern w:val="24"/>
          <w:szCs w:val="21"/>
        </w:rPr>
      </w:pPr>
      <w:r>
        <w:rPr>
          <w:rFonts w:hint="eastAsia" w:hAnsi="宋体" w:cs="宋体"/>
          <w:color w:val="auto"/>
          <w:kern w:val="24"/>
          <w:szCs w:val="21"/>
        </w:rPr>
        <w:t>处方管理办法</w:t>
      </w:r>
      <w:r>
        <w:rPr>
          <w:rFonts w:hint="eastAsia" w:hAnsi="宋体" w:cs="宋体"/>
          <w:color w:val="auto"/>
          <w:kern w:val="24"/>
          <w:szCs w:val="21"/>
          <w:lang w:val="en-US" w:eastAsia="zh-CN"/>
        </w:rPr>
        <w:t xml:space="preserve">  </w:t>
      </w:r>
      <w:r>
        <w:rPr>
          <w:rFonts w:hint="eastAsia" w:hAnsi="宋体" w:cs="宋体"/>
          <w:color w:val="auto"/>
          <w:kern w:val="24"/>
          <w:szCs w:val="21"/>
        </w:rPr>
        <w:t>原卫生部令第53号</w:t>
      </w:r>
    </w:p>
    <w:p>
      <w:pPr>
        <w:pStyle w:val="8"/>
        <w:tabs>
          <w:tab w:val="center" w:pos="567"/>
          <w:tab w:val="clear" w:pos="4201"/>
        </w:tabs>
        <w:jc w:val="left"/>
        <w:rPr>
          <w:rFonts w:hint="eastAsia" w:hAnsi="宋体" w:cs="宋体"/>
          <w:color w:val="auto"/>
          <w:kern w:val="24"/>
          <w:szCs w:val="21"/>
        </w:rPr>
      </w:pPr>
      <w:r>
        <w:rPr>
          <w:rFonts w:hint="eastAsia" w:hAnsi="宋体" w:cs="宋体"/>
          <w:color w:val="auto"/>
          <w:kern w:val="24"/>
          <w:szCs w:val="21"/>
        </w:rPr>
        <w:t>SB/T 10763-2012</w:t>
      </w:r>
      <w:r>
        <w:rPr>
          <w:rFonts w:hint="eastAsia" w:hAnsi="宋体" w:cs="宋体"/>
          <w:color w:val="auto"/>
          <w:kern w:val="24"/>
          <w:szCs w:val="21"/>
          <w:lang w:val="en-US" w:eastAsia="zh-CN"/>
        </w:rPr>
        <w:t xml:space="preserve"> </w:t>
      </w:r>
      <w:r>
        <w:rPr>
          <w:rFonts w:hint="eastAsia" w:hAnsi="宋体" w:cs="宋体"/>
          <w:color w:val="auto"/>
          <w:kern w:val="24"/>
          <w:szCs w:val="21"/>
        </w:rPr>
        <w:t>零售药店经营服务规范</w:t>
      </w:r>
      <w:r>
        <w:rPr>
          <w:rFonts w:hint="eastAsia" w:hAnsi="宋体" w:cs="宋体"/>
          <w:color w:val="auto"/>
          <w:kern w:val="24"/>
          <w:szCs w:val="21"/>
          <w:lang w:val="en-US" w:eastAsia="zh-CN"/>
        </w:rPr>
        <w:t xml:space="preserve">  </w:t>
      </w:r>
      <w:r>
        <w:rPr>
          <w:rFonts w:hint="eastAsia" w:hAnsi="宋体" w:cs="宋体"/>
          <w:color w:val="auto"/>
          <w:kern w:val="24"/>
          <w:szCs w:val="21"/>
        </w:rPr>
        <w:t xml:space="preserve">   </w:t>
      </w:r>
    </w:p>
    <w:p>
      <w:pPr>
        <w:pStyle w:val="8"/>
        <w:widowControl w:val="0"/>
        <w:topLinePunct/>
        <w:autoSpaceDE/>
        <w:autoSpaceDN/>
        <w:spacing w:before="156" w:beforeLines="50" w:after="156" w:afterLines="50"/>
        <w:ind w:firstLine="0" w:firstLineChars="0"/>
        <w:jc w:val="left"/>
        <w:rPr>
          <w:rFonts w:hint="eastAsia" w:ascii="黑体" w:hAnsi="黑体" w:eastAsia="黑体" w:cs="黑体"/>
          <w:color w:val="auto"/>
          <w:kern w:val="24"/>
          <w:szCs w:val="21"/>
        </w:rPr>
      </w:pPr>
    </w:p>
    <w:p>
      <w:pPr>
        <w:pStyle w:val="7"/>
        <w:widowControl w:val="0"/>
        <w:numPr>
          <w:ilvl w:val="0"/>
          <w:numId w:val="0"/>
        </w:numPr>
        <w:topLinePunct/>
        <w:spacing w:before="156" w:beforeLines="50" w:after="156" w:afterLines="50"/>
        <w:jc w:val="left"/>
        <w:outlineLvl w:val="9"/>
        <w:rPr>
          <w:rFonts w:hint="eastAsia" w:hAnsi="黑体" w:cs="黑体"/>
          <w:color w:val="auto"/>
          <w:kern w:val="24"/>
          <w:szCs w:val="21"/>
        </w:rPr>
      </w:pPr>
      <w:r>
        <w:rPr>
          <w:rFonts w:hint="eastAsia" w:hAnsi="黑体" w:cs="黑体"/>
          <w:color w:val="auto"/>
          <w:kern w:val="24"/>
          <w:szCs w:val="21"/>
        </w:rPr>
        <w:t>3  术语和定义</w:t>
      </w:r>
    </w:p>
    <w:p>
      <w:pPr>
        <w:pStyle w:val="8"/>
        <w:rPr>
          <w:rFonts w:hint="eastAsia"/>
          <w:color w:val="auto"/>
        </w:rPr>
      </w:pPr>
      <w:r>
        <w:rPr>
          <w:rFonts w:hint="eastAsia"/>
          <w:color w:val="auto"/>
        </w:rPr>
        <w:t>下列术语和定义适用于本文件。</w:t>
      </w:r>
    </w:p>
    <w:p>
      <w:pPr>
        <w:pStyle w:val="9"/>
        <w:widowControl w:val="0"/>
        <w:numPr>
          <w:ilvl w:val="1"/>
          <w:numId w:val="2"/>
        </w:numPr>
        <w:topLinePunct/>
        <w:outlineLvl w:val="9"/>
        <w:rPr>
          <w:rFonts w:hint="eastAsia" w:hAnsi="黑体" w:cs="黑体"/>
          <w:color w:val="auto"/>
          <w:kern w:val="24"/>
        </w:rPr>
      </w:pPr>
      <w:r>
        <w:rPr>
          <w:rFonts w:hint="eastAsia" w:hAnsi="黑体" w:cs="黑体"/>
          <w:color w:val="auto"/>
          <w:kern w:val="24"/>
        </w:rPr>
        <w:t xml:space="preserve"> </w:t>
      </w:r>
    </w:p>
    <w:p>
      <w:pPr>
        <w:pStyle w:val="9"/>
        <w:widowControl w:val="0"/>
        <w:numPr>
          <w:ilvl w:val="0"/>
          <w:numId w:val="0"/>
        </w:numPr>
        <w:topLinePunct/>
        <w:ind w:leftChars="0" w:firstLine="420" w:firstLineChars="200"/>
        <w:outlineLvl w:val="9"/>
        <w:rPr>
          <w:rFonts w:hint="eastAsia" w:hAnsi="黑体" w:cs="黑体"/>
          <w:color w:val="auto"/>
          <w:kern w:val="24"/>
        </w:rPr>
      </w:pPr>
      <w:r>
        <w:rPr>
          <w:rFonts w:hint="eastAsia" w:hAnsi="黑体" w:cs="黑体"/>
          <w:color w:val="auto"/>
          <w:kern w:val="24"/>
        </w:rPr>
        <w:t>特殊疾病药品  Drugs for special diseases</w:t>
      </w:r>
    </w:p>
    <w:p>
      <w:pPr>
        <w:pStyle w:val="9"/>
        <w:widowControl w:val="0"/>
        <w:numPr>
          <w:ilvl w:val="0"/>
          <w:numId w:val="0"/>
        </w:numPr>
        <w:topLinePunct/>
        <w:ind w:firstLine="420" w:firstLineChars="200"/>
        <w:outlineLvl w:val="9"/>
        <w:rPr>
          <w:rFonts w:hint="eastAsia"/>
          <w:color w:val="auto"/>
        </w:rPr>
      </w:pPr>
      <w:r>
        <w:rPr>
          <w:rFonts w:hint="eastAsia" w:ascii="宋体" w:hAnsi="宋体" w:eastAsia="宋体" w:cs="宋体"/>
          <w:color w:val="auto"/>
          <w:kern w:val="24"/>
        </w:rPr>
        <w:t>专门用于治疗某些特殊疾病或重大疾病的药品，简称“特药”。特药具有以下一种或几种特性：疗效确切，治疗费用高，需特殊用药监护，有特殊储运要求等。</w:t>
      </w:r>
    </w:p>
    <w:p>
      <w:pPr>
        <w:pStyle w:val="9"/>
        <w:widowControl w:val="0"/>
        <w:numPr>
          <w:ilvl w:val="1"/>
          <w:numId w:val="2"/>
        </w:numPr>
        <w:topLinePunct/>
        <w:outlineLvl w:val="9"/>
        <w:rPr>
          <w:rFonts w:hint="eastAsia" w:hAnsi="黑体" w:cs="黑体"/>
          <w:color w:val="auto"/>
          <w:kern w:val="24"/>
        </w:rPr>
      </w:pPr>
      <w:r>
        <w:rPr>
          <w:rFonts w:hint="eastAsia" w:hAnsi="黑体" w:cs="黑体"/>
          <w:color w:val="auto"/>
          <w:kern w:val="24"/>
        </w:rPr>
        <w:t xml:space="preserve"> </w:t>
      </w:r>
    </w:p>
    <w:p>
      <w:pPr>
        <w:pStyle w:val="9"/>
        <w:widowControl w:val="0"/>
        <w:numPr>
          <w:ilvl w:val="0"/>
          <w:numId w:val="0"/>
        </w:numPr>
        <w:topLinePunct/>
        <w:ind w:leftChars="0" w:firstLine="420" w:firstLineChars="200"/>
        <w:outlineLvl w:val="9"/>
        <w:rPr>
          <w:rFonts w:hint="eastAsia" w:hAnsi="黑体" w:cs="黑体"/>
          <w:color w:val="auto"/>
          <w:kern w:val="24"/>
        </w:rPr>
      </w:pPr>
      <w:r>
        <w:rPr>
          <w:rFonts w:hint="eastAsia" w:hAnsi="黑体" w:cs="黑体"/>
          <w:color w:val="auto"/>
          <w:kern w:val="24"/>
        </w:rPr>
        <w:t>特药药房  Special pharmacy</w:t>
      </w:r>
    </w:p>
    <w:p>
      <w:pPr>
        <w:pStyle w:val="9"/>
        <w:widowControl w:val="0"/>
        <w:numPr>
          <w:ilvl w:val="0"/>
          <w:numId w:val="0"/>
        </w:numPr>
        <w:topLinePunct/>
        <w:ind w:firstLine="420" w:firstLineChars="200"/>
        <w:outlineLvl w:val="9"/>
        <w:rPr>
          <w:color w:val="auto"/>
        </w:rPr>
      </w:pPr>
      <w:r>
        <w:rPr>
          <w:rFonts w:hint="eastAsia" w:ascii="宋体" w:hAnsi="宋体" w:eastAsia="宋体" w:cs="宋体"/>
          <w:color w:val="auto"/>
          <w:kern w:val="24"/>
        </w:rPr>
        <w:t>专营或兼营治疗特殊疾病药品的零售药店。</w:t>
      </w:r>
      <w:r>
        <w:rPr>
          <w:rFonts w:hint="eastAsia" w:ascii="宋体" w:hAnsi="宋体" w:eastAsia="宋体" w:cs="宋体"/>
          <w:color w:val="auto"/>
          <w:kern w:val="24"/>
          <w:lang w:eastAsia="zh-CN"/>
        </w:rPr>
        <w:t>应</w:t>
      </w:r>
      <w:r>
        <w:rPr>
          <w:rFonts w:hint="eastAsia" w:ascii="宋体" w:hAnsi="宋体" w:eastAsia="宋体" w:cs="宋体"/>
          <w:color w:val="auto"/>
          <w:kern w:val="24"/>
        </w:rPr>
        <w:t>配备药学技术人员并能为患者提供专业化、个性化的药物治疗管理服务，有符合特药特殊要求的服务环境和设施以及特药储存的设备和配送条件，信息化管理系统完备，药品质量有保障、可追溯。</w:t>
      </w:r>
    </w:p>
    <w:p>
      <w:pPr>
        <w:topLinePunct/>
        <w:spacing w:before="156" w:beforeLines="50" w:after="156" w:afterLines="50"/>
        <w:jc w:val="left"/>
        <w:rPr>
          <w:rFonts w:hint="eastAsia" w:ascii="黑体" w:hAnsi="黑体" w:eastAsia="黑体" w:cs="黑体"/>
          <w:color w:val="auto"/>
          <w:kern w:val="24"/>
          <w:szCs w:val="21"/>
        </w:rPr>
      </w:pPr>
      <w:r>
        <w:rPr>
          <w:rFonts w:ascii="黑体" w:hAnsi="黑体" w:eastAsia="黑体" w:cs="黑体"/>
          <w:color w:val="auto"/>
          <w:kern w:val="24"/>
          <w:szCs w:val="21"/>
        </w:rPr>
        <w:t>3</w:t>
      </w:r>
      <w:r>
        <w:rPr>
          <w:rFonts w:hint="eastAsia" w:ascii="黑体" w:hAnsi="黑体" w:eastAsia="黑体" w:cs="黑体"/>
          <w:color w:val="auto"/>
          <w:kern w:val="24"/>
          <w:szCs w:val="21"/>
        </w:rPr>
        <w:t xml:space="preserve">.3 </w:t>
      </w:r>
    </w:p>
    <w:p>
      <w:pPr>
        <w:topLinePunct/>
        <w:spacing w:before="156" w:beforeLines="50" w:after="156" w:afterLines="50"/>
        <w:ind w:firstLine="420" w:firstLineChars="200"/>
        <w:jc w:val="left"/>
        <w:rPr>
          <w:rFonts w:hint="eastAsia" w:ascii="黑体" w:hAnsi="黑体" w:eastAsia="黑体" w:cs="黑体"/>
          <w:color w:val="auto"/>
          <w:kern w:val="24"/>
          <w:szCs w:val="21"/>
        </w:rPr>
      </w:pPr>
      <w:r>
        <w:rPr>
          <w:rFonts w:hint="eastAsia" w:ascii="黑体" w:hAnsi="黑体" w:eastAsia="黑体" w:cs="黑体"/>
          <w:color w:val="auto"/>
          <w:kern w:val="24"/>
          <w:szCs w:val="21"/>
        </w:rPr>
        <w:t>药学技术人员  Pharmacy technician</w:t>
      </w:r>
    </w:p>
    <w:p>
      <w:pPr>
        <w:topLinePunct/>
        <w:spacing w:before="156" w:beforeLines="50" w:after="156" w:afterLines="50"/>
        <w:ind w:firstLine="420" w:firstLineChars="200"/>
        <w:jc w:val="left"/>
        <w:rPr>
          <w:rFonts w:hint="eastAsia" w:ascii="黑体" w:hAnsi="黑体" w:eastAsia="黑体" w:cs="黑体"/>
          <w:color w:val="auto"/>
          <w:kern w:val="24"/>
          <w:szCs w:val="21"/>
        </w:rPr>
      </w:pPr>
      <w:r>
        <w:rPr>
          <w:rFonts w:hint="eastAsia" w:ascii="宋体" w:hAnsi="宋体" w:cs="宋体"/>
          <w:color w:val="auto"/>
          <w:kern w:val="24"/>
        </w:rPr>
        <w:t xml:space="preserve">从事药学服务相关工作的执业药师、药师和药学及相关专业的其他技术人员。  </w:t>
      </w:r>
    </w:p>
    <w:p>
      <w:pPr>
        <w:topLinePunct/>
        <w:spacing w:before="156" w:beforeLines="50" w:after="156" w:afterLines="50"/>
        <w:jc w:val="left"/>
        <w:rPr>
          <w:rFonts w:hint="eastAsia" w:ascii="黑体" w:hAnsi="黑体" w:eastAsia="黑体" w:cs="黑体"/>
          <w:color w:val="auto"/>
          <w:kern w:val="24"/>
          <w:szCs w:val="21"/>
        </w:rPr>
      </w:pPr>
      <w:r>
        <w:rPr>
          <w:rFonts w:ascii="黑体" w:hAnsi="黑体" w:eastAsia="黑体" w:cs="黑体"/>
          <w:color w:val="auto"/>
          <w:kern w:val="24"/>
          <w:szCs w:val="21"/>
        </w:rPr>
        <w:t>3</w:t>
      </w:r>
      <w:r>
        <w:rPr>
          <w:rFonts w:hint="eastAsia" w:ascii="黑体" w:hAnsi="黑体" w:eastAsia="黑体" w:cs="黑体"/>
          <w:color w:val="auto"/>
          <w:kern w:val="24"/>
          <w:szCs w:val="21"/>
        </w:rPr>
        <w:t xml:space="preserve">.4 </w:t>
      </w:r>
    </w:p>
    <w:p>
      <w:pPr>
        <w:topLinePunct/>
        <w:spacing w:before="156" w:beforeLines="50" w:after="156" w:afterLines="50"/>
        <w:ind w:firstLine="420" w:firstLineChars="200"/>
        <w:jc w:val="left"/>
        <w:rPr>
          <w:rFonts w:hint="eastAsia" w:ascii="黑体" w:hAnsi="黑体" w:eastAsia="黑体" w:cs="黑体"/>
          <w:color w:val="auto"/>
          <w:kern w:val="24"/>
          <w:szCs w:val="21"/>
        </w:rPr>
      </w:pPr>
      <w:r>
        <w:rPr>
          <w:rFonts w:hint="eastAsia" w:ascii="黑体" w:hAnsi="黑体" w:eastAsia="黑体" w:cs="黑体"/>
          <w:color w:val="auto"/>
          <w:kern w:val="24"/>
          <w:szCs w:val="21"/>
        </w:rPr>
        <w:t>药物治疗管理  Medication therapy management（MTM）</w:t>
      </w:r>
    </w:p>
    <w:p>
      <w:pPr>
        <w:pStyle w:val="9"/>
        <w:widowControl w:val="0"/>
        <w:numPr>
          <w:ilvl w:val="0"/>
          <w:numId w:val="0"/>
        </w:numPr>
        <w:topLinePunct/>
        <w:ind w:firstLine="420" w:firstLineChars="200"/>
        <w:outlineLvl w:val="9"/>
        <w:rPr>
          <w:rFonts w:hint="eastAsia" w:hAnsi="黑体" w:cs="黑体"/>
          <w:color w:val="auto"/>
          <w:kern w:val="24"/>
        </w:rPr>
      </w:pPr>
      <w:r>
        <w:rPr>
          <w:rFonts w:hint="eastAsia" w:ascii="宋体" w:hAnsi="宋体" w:eastAsia="宋体" w:cs="宋体"/>
          <w:color w:val="auto"/>
          <w:kern w:val="24"/>
        </w:rPr>
        <w:t>药学技术人员以患者为中心，对患者用药全过程进行管理的专业活动。</w:t>
      </w:r>
      <w:r>
        <w:rPr>
          <w:rFonts w:hint="eastAsia" w:ascii="宋体" w:hAnsi="宋体" w:eastAsia="宋体" w:cs="宋体"/>
          <w:color w:val="auto"/>
          <w:kern w:val="24"/>
          <w:lang w:eastAsia="zh-CN"/>
        </w:rPr>
        <w:t>其</w:t>
      </w:r>
      <w:r>
        <w:rPr>
          <w:rFonts w:hint="eastAsia" w:ascii="宋体" w:hAnsi="宋体" w:eastAsia="宋体" w:cs="宋体"/>
          <w:color w:val="auto"/>
          <w:kern w:val="24"/>
        </w:rPr>
        <w:t>管理内容包括采集患者所有与治疗相关的信息；与患者一起管理药物治疗方案，监测和评估患者对药物治疗结果的反应，包含安全性与有效性；实施全面的药物治疗评估，以确定、解决和预防药物治疗相关问题；随访并记录提供管理的过程；对患者进行用药与健康教育，提升患者的自我管理能力，促进合理用药。</w:t>
      </w:r>
    </w:p>
    <w:p>
      <w:pPr>
        <w:pStyle w:val="9"/>
        <w:widowControl w:val="0"/>
        <w:numPr>
          <w:ilvl w:val="0"/>
          <w:numId w:val="0"/>
        </w:numPr>
        <w:topLinePunct/>
        <w:outlineLvl w:val="9"/>
        <w:rPr>
          <w:rFonts w:hint="eastAsia" w:hAnsi="黑体" w:cs="黑体"/>
          <w:color w:val="auto"/>
          <w:kern w:val="24"/>
        </w:rPr>
      </w:pPr>
      <w:r>
        <w:rPr>
          <w:rFonts w:hint="eastAsia" w:hAnsi="黑体" w:cs="黑体"/>
          <w:color w:val="auto"/>
          <w:kern w:val="24"/>
        </w:rPr>
        <w:t xml:space="preserve">3.5 </w:t>
      </w:r>
    </w:p>
    <w:p>
      <w:pPr>
        <w:pStyle w:val="9"/>
        <w:widowControl w:val="0"/>
        <w:numPr>
          <w:ilvl w:val="0"/>
          <w:numId w:val="0"/>
        </w:numPr>
        <w:topLinePunct/>
        <w:ind w:firstLine="420" w:firstLineChars="200"/>
        <w:outlineLvl w:val="9"/>
        <w:rPr>
          <w:rFonts w:hint="eastAsia" w:hAnsi="黑体" w:cs="黑体"/>
          <w:color w:val="auto"/>
          <w:kern w:val="24"/>
        </w:rPr>
      </w:pPr>
      <w:r>
        <w:rPr>
          <w:rFonts w:hint="eastAsia" w:hAnsi="黑体" w:cs="黑体"/>
          <w:color w:val="auto"/>
          <w:kern w:val="24"/>
        </w:rPr>
        <w:t>药历  Medication record</w:t>
      </w:r>
    </w:p>
    <w:p>
      <w:pPr>
        <w:pStyle w:val="8"/>
        <w:widowControl w:val="0"/>
        <w:topLinePunct/>
        <w:autoSpaceDE/>
        <w:autoSpaceDN/>
        <w:spacing w:before="156" w:beforeLines="50" w:after="156" w:afterLines="50"/>
        <w:jc w:val="left"/>
        <w:rPr>
          <w:rFonts w:hint="eastAsia" w:hAnsi="宋体" w:cs="宋体"/>
          <w:color w:val="auto"/>
          <w:kern w:val="24"/>
          <w:szCs w:val="21"/>
        </w:rPr>
      </w:pPr>
      <w:r>
        <w:rPr>
          <w:rFonts w:hint="eastAsia" w:hAnsi="宋体" w:cs="宋体"/>
          <w:color w:val="auto"/>
          <w:kern w:val="24"/>
        </w:rPr>
        <w:t>药学技术人员</w:t>
      </w:r>
      <w:r>
        <w:rPr>
          <w:rFonts w:hint="eastAsia" w:hAnsi="宋体" w:cs="宋体"/>
          <w:color w:val="auto"/>
          <w:kern w:val="24"/>
          <w:szCs w:val="21"/>
        </w:rPr>
        <w:t>在药学服务过程中，以合理用药为目的，采集患者临床资料和用药状况，通过综合分析、整理归纳而书写的记录患者药物治疗过程的医疗文书。</w:t>
      </w:r>
      <w:r>
        <w:rPr>
          <w:rFonts w:hint="eastAsia" w:hAnsi="宋体" w:cs="宋体"/>
          <w:color w:val="auto"/>
          <w:kern w:val="24"/>
          <w:szCs w:val="21"/>
          <w:lang w:eastAsia="zh-CN"/>
        </w:rPr>
        <w:t>其</w:t>
      </w:r>
      <w:r>
        <w:rPr>
          <w:rFonts w:hint="eastAsia" w:hAnsi="宋体" w:cs="宋体"/>
          <w:color w:val="auto"/>
          <w:kern w:val="24"/>
          <w:szCs w:val="21"/>
        </w:rPr>
        <w:t>基本内容应包括与医疗有关的患者基本情况、药物治疗过程、药物治疗效果评价、药师干预计划、干预效果随访、用药指导和健康教育等，是为患者进行个体化药物治疗的重要依据，是开展药学服务的必备资料。</w:t>
      </w:r>
    </w:p>
    <w:p>
      <w:pPr>
        <w:pStyle w:val="9"/>
        <w:widowControl w:val="0"/>
        <w:numPr>
          <w:ilvl w:val="0"/>
          <w:numId w:val="0"/>
        </w:numPr>
        <w:topLinePunct/>
        <w:outlineLvl w:val="9"/>
        <w:rPr>
          <w:rFonts w:hint="eastAsia" w:hAnsi="黑体" w:cs="黑体"/>
          <w:color w:val="auto"/>
          <w:kern w:val="24"/>
        </w:rPr>
      </w:pPr>
      <w:r>
        <w:rPr>
          <w:rFonts w:hint="eastAsia" w:hAnsi="黑体" w:cs="黑体"/>
          <w:color w:val="auto"/>
          <w:kern w:val="24"/>
        </w:rPr>
        <w:t xml:space="preserve">3.6 </w:t>
      </w:r>
    </w:p>
    <w:p>
      <w:pPr>
        <w:pStyle w:val="9"/>
        <w:widowControl w:val="0"/>
        <w:numPr>
          <w:ilvl w:val="0"/>
          <w:numId w:val="0"/>
        </w:numPr>
        <w:topLinePunct/>
        <w:ind w:firstLine="420" w:firstLineChars="200"/>
        <w:outlineLvl w:val="9"/>
        <w:rPr>
          <w:rFonts w:hint="eastAsia" w:hAnsi="黑体" w:cs="黑体"/>
          <w:color w:val="auto"/>
          <w:kern w:val="24"/>
        </w:rPr>
      </w:pPr>
      <w:r>
        <w:rPr>
          <w:rFonts w:hint="eastAsia" w:hAnsi="黑体" w:cs="黑体"/>
          <w:color w:val="auto"/>
          <w:kern w:val="24"/>
        </w:rPr>
        <w:t>药物警戒  Pharmacovigilance</w:t>
      </w:r>
    </w:p>
    <w:p>
      <w:pPr>
        <w:topLinePunct/>
        <w:spacing w:before="156" w:beforeLines="50" w:after="156" w:afterLines="50"/>
        <w:ind w:firstLine="420" w:firstLineChars="200"/>
        <w:jc w:val="left"/>
        <w:rPr>
          <w:rFonts w:hint="eastAsia" w:ascii="宋体" w:hAnsi="宋体" w:cs="宋体"/>
          <w:color w:val="auto"/>
          <w:kern w:val="24"/>
          <w:szCs w:val="21"/>
        </w:rPr>
      </w:pPr>
      <w:r>
        <w:rPr>
          <w:rFonts w:hint="eastAsia" w:ascii="宋体" w:hAnsi="宋体" w:cs="宋体"/>
          <w:color w:val="auto"/>
          <w:kern w:val="24"/>
          <w:szCs w:val="21"/>
        </w:rPr>
        <w:t>发现、识别、评价和预防药品不良反应或其他任何可能与药物治疗有关的不良后果的科学研究与活动。药物警戒不仅涉及药物的不良反应，还涉及与药物相关的其他问题，如不合格药品、药物治疗错误、缺乏有效性的报告，对没有充分科学根据而不被认可的适应症的用药、急</w:t>
      </w:r>
      <w:r>
        <w:rPr>
          <w:rFonts w:hint="eastAsia" w:ascii="宋体" w:hAnsi="宋体" w:cs="宋体"/>
          <w:color w:val="auto"/>
          <w:kern w:val="24"/>
          <w:szCs w:val="21"/>
        </w:rPr>
        <w:fldChar w:fldCharType="begin"/>
      </w:r>
      <w:r>
        <w:rPr>
          <w:rFonts w:hint="eastAsia" w:ascii="宋体" w:hAnsi="宋体" w:cs="宋体"/>
          <w:color w:val="auto"/>
          <w:kern w:val="24"/>
          <w:szCs w:val="21"/>
        </w:rPr>
        <w:instrText xml:space="preserve"> HYPERLINK "http://baike.baidu.com/view/2364791.htm" \t "_blank" </w:instrText>
      </w:r>
      <w:r>
        <w:rPr>
          <w:rFonts w:hint="eastAsia" w:ascii="宋体" w:hAnsi="宋体" w:cs="宋体"/>
          <w:color w:val="auto"/>
          <w:kern w:val="24"/>
          <w:szCs w:val="21"/>
        </w:rPr>
        <w:fldChar w:fldCharType="separate"/>
      </w:r>
      <w:r>
        <w:rPr>
          <w:rFonts w:hint="eastAsia" w:ascii="宋体" w:hAnsi="宋体" w:cs="宋体"/>
          <w:color w:val="auto"/>
          <w:kern w:val="24"/>
          <w:szCs w:val="21"/>
        </w:rPr>
        <w:t>慢性中毒</w:t>
      </w:r>
      <w:r>
        <w:rPr>
          <w:rFonts w:hint="eastAsia" w:ascii="宋体" w:hAnsi="宋体" w:cs="宋体"/>
          <w:color w:val="auto"/>
          <w:kern w:val="24"/>
          <w:szCs w:val="21"/>
        </w:rPr>
        <w:fldChar w:fldCharType="end"/>
      </w:r>
      <w:r>
        <w:rPr>
          <w:rFonts w:hint="eastAsia" w:ascii="宋体" w:hAnsi="宋体" w:cs="宋体"/>
          <w:color w:val="auto"/>
          <w:kern w:val="24"/>
          <w:szCs w:val="21"/>
        </w:rPr>
        <w:t>的病例报告，与药物相关的病死率的评价、药物的滥用与错用、药物与药物及药物与食品的不良相互作用的研究与报告。</w:t>
      </w:r>
    </w:p>
    <w:p>
      <w:pPr>
        <w:topLinePunct/>
        <w:spacing w:before="156" w:beforeLines="50" w:after="156" w:afterLines="50"/>
        <w:ind w:firstLine="420"/>
        <w:jc w:val="left"/>
        <w:rPr>
          <w:rFonts w:hint="eastAsia" w:ascii="黑体" w:hAnsi="黑体" w:eastAsia="黑体" w:cs="黑体"/>
          <w:color w:val="auto"/>
          <w:kern w:val="24"/>
          <w:szCs w:val="21"/>
        </w:rPr>
      </w:pPr>
    </w:p>
    <w:p>
      <w:pPr>
        <w:pStyle w:val="7"/>
        <w:widowControl w:val="0"/>
        <w:numPr>
          <w:ilvl w:val="0"/>
          <w:numId w:val="0"/>
        </w:numPr>
        <w:topLinePunct/>
        <w:spacing w:before="156" w:beforeLines="50" w:after="156" w:afterLines="50"/>
        <w:jc w:val="left"/>
        <w:outlineLvl w:val="9"/>
        <w:rPr>
          <w:rFonts w:hint="eastAsia" w:hAnsi="黑体" w:cs="黑体"/>
          <w:color w:val="auto"/>
          <w:kern w:val="24"/>
          <w:szCs w:val="21"/>
        </w:rPr>
      </w:pPr>
      <w:r>
        <w:rPr>
          <w:rFonts w:hint="eastAsia" w:hAnsi="黑体" w:cs="黑体"/>
          <w:color w:val="auto"/>
          <w:kern w:val="24"/>
          <w:szCs w:val="21"/>
        </w:rPr>
        <w:t>4  总则</w:t>
      </w:r>
    </w:p>
    <w:p>
      <w:pPr>
        <w:pStyle w:val="8"/>
        <w:rPr>
          <w:rFonts w:hint="eastAsia"/>
          <w:color w:val="auto"/>
        </w:rPr>
      </w:pP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4.1规范零售药店经营特殊疾病药品的服务行为，保障</w:t>
      </w:r>
      <w:r>
        <w:rPr>
          <w:rFonts w:hint="eastAsia" w:hAnsi="宋体" w:cs="宋体"/>
          <w:color w:val="auto"/>
          <w:kern w:val="24"/>
          <w:szCs w:val="21"/>
          <w:lang w:eastAsia="zh-CN"/>
        </w:rPr>
        <w:t>特殊疾病</w:t>
      </w:r>
      <w:r>
        <w:rPr>
          <w:rFonts w:hint="eastAsia" w:hAnsi="宋体" w:cs="宋体"/>
          <w:color w:val="auto"/>
          <w:kern w:val="24"/>
          <w:szCs w:val="21"/>
        </w:rPr>
        <w:t>患者获得合格的药品和优良的药学服务，维护公众健康，发挥零售药店在国家基本医疗卫生服务体系中的作用。</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4.2 特药药房应当遵守《中华人民共和国药品管理法》和相关的国家法律法规和规章；应当恪守诚信原则，保障药品质量和药品供应，树立专业的服务品牌。</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4.3 除了执行本规范之外，还应当遵守SB/T 10763-2012《零售药店经营服务规范》。</w:t>
      </w:r>
    </w:p>
    <w:p>
      <w:pPr>
        <w:pStyle w:val="9"/>
        <w:widowControl w:val="0"/>
        <w:numPr>
          <w:ilvl w:val="0"/>
          <w:numId w:val="0"/>
        </w:numPr>
        <w:topLinePunct/>
        <w:ind w:left="360"/>
        <w:outlineLvl w:val="9"/>
        <w:rPr>
          <w:rFonts w:hint="eastAsia" w:hAnsi="黑体" w:cs="黑体"/>
          <w:color w:val="auto"/>
          <w:kern w:val="24"/>
        </w:rPr>
      </w:pP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ascii="黑体" w:hAnsi="黑体" w:eastAsia="黑体" w:cs="黑体"/>
          <w:color w:val="auto"/>
          <w:kern w:val="24"/>
          <w:szCs w:val="21"/>
        </w:rPr>
      </w:pPr>
      <w:r>
        <w:rPr>
          <w:rFonts w:hint="eastAsia" w:ascii="黑体" w:hAnsi="黑体" w:eastAsia="黑体" w:cs="黑体"/>
          <w:color w:val="auto"/>
          <w:kern w:val="24"/>
          <w:szCs w:val="21"/>
        </w:rPr>
        <w:t>5  人员与培训</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ascii="黑体" w:hAnsi="黑体" w:eastAsia="黑体" w:cs="黑体"/>
          <w:color w:val="auto"/>
          <w:kern w:val="24"/>
          <w:szCs w:val="21"/>
        </w:rPr>
      </w:pP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5.</w:t>
      </w:r>
      <w:r>
        <w:rPr>
          <w:rFonts w:hint="eastAsia" w:hAnsi="宋体" w:cs="宋体"/>
          <w:color w:val="auto"/>
          <w:kern w:val="24"/>
          <w:szCs w:val="21"/>
          <w:lang w:val="en-US" w:eastAsia="zh-CN"/>
        </w:rPr>
        <w:t>1</w:t>
      </w:r>
      <w:r>
        <w:rPr>
          <w:rFonts w:hint="eastAsia" w:hAnsi="宋体" w:cs="宋体"/>
          <w:color w:val="auto"/>
          <w:kern w:val="24"/>
          <w:szCs w:val="21"/>
        </w:rPr>
        <w:t xml:space="preserve"> 特药药房应当配备与特药经营服务规模相适应的药学技术人员，其中执业药师应当具有药学或者相关专业大学专科及以上学历。</w:t>
      </w:r>
    </w:p>
    <w:p>
      <w:pPr>
        <w:pStyle w:val="8"/>
        <w:widowControl w:val="0"/>
        <w:tabs>
          <w:tab w:val="center" w:pos="567"/>
          <w:tab w:val="clear" w:pos="4201"/>
        </w:tabs>
        <w:topLinePunct/>
        <w:autoSpaceDE/>
        <w:autoSpaceDN/>
        <w:spacing w:before="156" w:beforeLines="50" w:after="156" w:afterLines="50"/>
        <w:ind w:firstLine="0" w:firstLineChars="0"/>
        <w:jc w:val="left"/>
        <w:rPr>
          <w:rFonts w:hAnsi="宋体" w:cs="宋体"/>
          <w:color w:val="auto"/>
          <w:kern w:val="24"/>
          <w:szCs w:val="21"/>
        </w:rPr>
      </w:pPr>
      <w:r>
        <w:rPr>
          <w:rFonts w:hint="eastAsia" w:hAnsi="宋体" w:cs="宋体"/>
          <w:color w:val="auto"/>
          <w:kern w:val="24"/>
          <w:szCs w:val="21"/>
        </w:rPr>
        <w:t>5.</w:t>
      </w:r>
      <w:r>
        <w:rPr>
          <w:rFonts w:hint="eastAsia" w:hAnsi="宋体" w:cs="宋体"/>
          <w:color w:val="auto"/>
          <w:kern w:val="24"/>
          <w:szCs w:val="21"/>
          <w:lang w:val="en-US" w:eastAsia="zh-CN"/>
        </w:rPr>
        <w:t>2</w:t>
      </w:r>
      <w:r>
        <w:rPr>
          <w:rFonts w:hint="eastAsia" w:hAnsi="宋体" w:cs="宋体"/>
          <w:color w:val="auto"/>
          <w:kern w:val="24"/>
          <w:szCs w:val="21"/>
        </w:rPr>
        <w:t xml:space="preserve"> 特药药房应对药学技术人员进行符合特药岗位需求的培训，制定培训计划并建立培训档案。培训内容应包括特药与特病基本理论、基本知识和基本技能，以及岗位服务操作规范、常规急救知识、冷链药品管理知识等。</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5.</w:t>
      </w:r>
      <w:r>
        <w:rPr>
          <w:rFonts w:hint="eastAsia" w:hAnsi="宋体" w:cs="宋体"/>
          <w:color w:val="auto"/>
          <w:kern w:val="24"/>
          <w:szCs w:val="21"/>
          <w:lang w:val="en-US" w:eastAsia="zh-CN"/>
        </w:rPr>
        <w:t>3</w:t>
      </w:r>
      <w:r>
        <w:rPr>
          <w:rFonts w:hint="eastAsia" w:hAnsi="宋体" w:cs="宋体"/>
          <w:color w:val="auto"/>
          <w:kern w:val="24"/>
          <w:szCs w:val="21"/>
        </w:rPr>
        <w:t xml:space="preserve"> 药学技术人员应当经过特药岗位专业培训并考核合格后上岗，掌握特殊疾病药品与特殊疾病的专业知识与专业技能。执业药师与药师应经过药物治疗管理相关知识培训并考核合格。</w:t>
      </w:r>
    </w:p>
    <w:p>
      <w:pPr>
        <w:pStyle w:val="8"/>
        <w:widowControl w:val="0"/>
        <w:tabs>
          <w:tab w:val="center" w:pos="567"/>
          <w:tab w:val="clear" w:pos="4201"/>
        </w:tabs>
        <w:topLinePunct/>
        <w:autoSpaceDE/>
        <w:autoSpaceDN/>
        <w:spacing w:before="156" w:beforeLines="50" w:after="156" w:afterLines="50"/>
        <w:ind w:firstLine="0" w:firstLineChars="0"/>
        <w:jc w:val="left"/>
        <w:rPr>
          <w:rFonts w:hAnsi="宋体" w:cs="宋体"/>
          <w:color w:val="auto"/>
          <w:kern w:val="24"/>
          <w:szCs w:val="21"/>
        </w:rPr>
      </w:pPr>
      <w:r>
        <w:rPr>
          <w:rFonts w:hint="eastAsia" w:hAnsi="宋体" w:cs="宋体"/>
          <w:color w:val="auto"/>
          <w:kern w:val="24"/>
          <w:szCs w:val="21"/>
        </w:rPr>
        <w:t>5.4 执业药师负责审核特药处方</w:t>
      </w:r>
      <w:r>
        <w:rPr>
          <w:rFonts w:hint="eastAsia" w:hAnsi="宋体" w:cs="宋体"/>
          <w:color w:val="auto"/>
          <w:kern w:val="24"/>
          <w:szCs w:val="21"/>
          <w:lang w:eastAsia="zh-CN"/>
        </w:rPr>
        <w:t>，</w:t>
      </w:r>
      <w:r>
        <w:rPr>
          <w:rFonts w:hint="eastAsia" w:hAnsi="宋体" w:cs="宋体"/>
          <w:color w:val="auto"/>
          <w:kern w:val="24"/>
          <w:szCs w:val="21"/>
        </w:rPr>
        <w:t>并对特药处方调配的全过程进行专业指导。</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5.5药学技术人员应当具有应用药学工具（软件）解决患者用药相关问题的能力。</w:t>
      </w:r>
    </w:p>
    <w:p>
      <w:pPr>
        <w:pStyle w:val="8"/>
        <w:tabs>
          <w:tab w:val="center" w:pos="0"/>
          <w:tab w:val="clear" w:pos="4201"/>
        </w:tabs>
        <w:ind w:firstLine="0" w:firstLineChars="0"/>
        <w:jc w:val="left"/>
        <w:rPr>
          <w:rFonts w:hint="eastAsia" w:hAnsi="宋体" w:cs="宋体"/>
          <w:color w:val="auto"/>
          <w:kern w:val="24"/>
          <w:szCs w:val="21"/>
        </w:rPr>
      </w:pPr>
      <w:r>
        <w:rPr>
          <w:rFonts w:hint="eastAsia" w:hAnsi="宋体" w:cs="宋体"/>
          <w:color w:val="auto"/>
          <w:kern w:val="24"/>
          <w:szCs w:val="21"/>
        </w:rPr>
        <w:t>5.6 执业药师和药师应当具有国内外文献的检索能力，能够了解国内外在重大疾病药物治疗方面的最新进展。</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ascii="黑体" w:hAnsi="黑体" w:eastAsia="黑体" w:cs="黑体"/>
          <w:color w:val="auto"/>
          <w:kern w:val="24"/>
          <w:szCs w:val="21"/>
        </w:rPr>
      </w:pPr>
      <w:r>
        <w:rPr>
          <w:rFonts w:hint="eastAsia" w:ascii="黑体" w:hAnsi="黑体" w:eastAsia="黑体" w:cs="黑体"/>
          <w:color w:val="auto"/>
          <w:kern w:val="24"/>
          <w:szCs w:val="21"/>
        </w:rPr>
        <w:t>6  经营服务环境</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ascii="黑体" w:hAnsi="黑体" w:eastAsia="黑体" w:cs="黑体"/>
          <w:color w:val="auto"/>
          <w:kern w:val="24"/>
          <w:szCs w:val="21"/>
        </w:rPr>
      </w:pP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6.1 具有与业务开展相适应的经营特殊疾病药品的场所，实际经营面积与经营规模相适应。</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6.2 特殊疾病药品经营区域应相对独立（专区或专柜），并有明显标识。</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6.3 设立特殊疾病药品药学服务咨询区，咨询区相对隔离，环境有利于交流和保护患者隐私。</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6.4 设立能够开展患者教育以及为患者提供休息的区域和设施，有供患者阅览的科普书刊、健康宣教材料或科普墙报。</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6.5 承担援助药品项目的应当设立相对独立的用于患者领用援助药品和进行相关资料审核评估的援助药品服务区域。</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6.6 在店堂内醒目位置公示相关服务内容，如用药咨询电话、</w:t>
      </w:r>
      <w:r>
        <w:rPr>
          <w:rFonts w:hint="eastAsia" w:hAnsi="宋体" w:cs="宋体"/>
          <w:color w:val="auto"/>
          <w:kern w:val="24"/>
          <w:szCs w:val="21"/>
          <w:lang w:eastAsia="zh-CN"/>
        </w:rPr>
        <w:t>药学服务项目、</w:t>
      </w:r>
      <w:r>
        <w:rPr>
          <w:rFonts w:hint="eastAsia" w:hAnsi="宋体" w:cs="宋体"/>
          <w:color w:val="auto"/>
          <w:kern w:val="24"/>
          <w:szCs w:val="21"/>
        </w:rPr>
        <w:t>药学技术人员岗位服务公示牌、医保和商保报销规定等。</w:t>
      </w:r>
    </w:p>
    <w:p>
      <w:pPr>
        <w:pStyle w:val="8"/>
        <w:tabs>
          <w:tab w:val="center" w:pos="567"/>
          <w:tab w:val="clear" w:pos="4201"/>
        </w:tabs>
        <w:ind w:firstLine="0" w:firstLineChars="0"/>
        <w:jc w:val="left"/>
        <w:rPr>
          <w:rFonts w:hint="eastAsia" w:hAnsi="宋体" w:cs="宋体"/>
          <w:color w:val="auto"/>
          <w:kern w:val="24"/>
          <w:szCs w:val="21"/>
        </w:rPr>
      </w:pP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ascii="黑体" w:hAnsi="黑体" w:eastAsia="黑体" w:cs="黑体"/>
          <w:color w:val="auto"/>
          <w:kern w:val="24"/>
          <w:szCs w:val="21"/>
        </w:rPr>
      </w:pPr>
      <w:r>
        <w:rPr>
          <w:rFonts w:hint="eastAsia" w:ascii="黑体" w:hAnsi="黑体" w:eastAsia="黑体" w:cs="黑体"/>
          <w:color w:val="auto"/>
          <w:kern w:val="24"/>
          <w:szCs w:val="21"/>
        </w:rPr>
        <w:t>7  信息系统管理</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7.1 配备与经营服务相适应的计算机和网络系统，能够满足特殊疾病药品和服务质量的管理要求。</w:t>
      </w:r>
    </w:p>
    <w:p>
      <w:pPr>
        <w:pStyle w:val="8"/>
        <w:widowControl w:val="0"/>
        <w:tabs>
          <w:tab w:val="center" w:pos="546"/>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7.2 应当具有包括药品信息管理功能和患者信息管理功能的药学服务信息系统，服务过程</w:t>
      </w:r>
      <w:r>
        <w:rPr>
          <w:rFonts w:hint="eastAsia" w:hAnsi="宋体" w:cs="宋体"/>
          <w:color w:val="auto"/>
          <w:kern w:val="24"/>
          <w:szCs w:val="21"/>
          <w:lang w:eastAsia="zh-CN"/>
        </w:rPr>
        <w:t>有</w:t>
      </w:r>
      <w:r>
        <w:rPr>
          <w:rFonts w:hint="eastAsia" w:hAnsi="宋体" w:cs="宋体"/>
          <w:color w:val="auto"/>
          <w:kern w:val="24"/>
          <w:szCs w:val="21"/>
        </w:rPr>
        <w:t>记录、可追溯。</w:t>
      </w:r>
    </w:p>
    <w:p>
      <w:pPr>
        <w:pStyle w:val="8"/>
        <w:widowControl w:val="0"/>
        <w:tabs>
          <w:tab w:val="center" w:pos="546"/>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7.2.1 药品信息管理功能应包括药品基本信息管理、药品信息查询、药物相互作用查询、用药安全信息查询、用药指导和用药咨询记录、用药错误及不良反应记录等内容。</w:t>
      </w:r>
    </w:p>
    <w:p>
      <w:pPr>
        <w:pStyle w:val="8"/>
        <w:widowControl w:val="0"/>
        <w:tabs>
          <w:tab w:val="center" w:pos="546"/>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7.2.2 患者信息管理功能应包括患者相关信息、疾病相关信息、用药情况记录、用药评估与干预过程、回访记录等药历内容；应具有保护患者隐私的措施。</w:t>
      </w:r>
    </w:p>
    <w:p>
      <w:pPr>
        <w:pStyle w:val="8"/>
        <w:tabs>
          <w:tab w:val="center" w:pos="567"/>
          <w:tab w:val="clear" w:pos="4201"/>
        </w:tabs>
        <w:ind w:left="630" w:hanging="630" w:hangingChars="300"/>
        <w:jc w:val="left"/>
        <w:rPr>
          <w:rFonts w:hint="eastAsia" w:hAnsi="宋体" w:cs="宋体"/>
          <w:color w:val="auto"/>
          <w:kern w:val="24"/>
          <w:szCs w:val="21"/>
        </w:rPr>
      </w:pPr>
      <w:r>
        <w:rPr>
          <w:rFonts w:hint="eastAsia" w:hAnsi="宋体" w:cs="宋体"/>
          <w:color w:val="auto"/>
          <w:kern w:val="24"/>
          <w:szCs w:val="21"/>
        </w:rPr>
        <w:t>7.3 建立并完善电子处方管理系统，至少满足以下功能需求：登录管理，调剂（处方录入、审核、调配）</w:t>
      </w:r>
    </w:p>
    <w:p>
      <w:pPr>
        <w:pStyle w:val="8"/>
        <w:tabs>
          <w:tab w:val="center" w:pos="567"/>
          <w:tab w:val="clear" w:pos="4201"/>
        </w:tabs>
        <w:ind w:left="630" w:hanging="630" w:hangingChars="300"/>
        <w:jc w:val="left"/>
        <w:rPr>
          <w:rFonts w:hint="eastAsia" w:hAnsi="宋体" w:cs="宋体"/>
          <w:color w:val="auto"/>
          <w:kern w:val="24"/>
          <w:szCs w:val="21"/>
        </w:rPr>
      </w:pPr>
      <w:r>
        <w:rPr>
          <w:rFonts w:hint="eastAsia" w:hAnsi="宋体" w:cs="宋体"/>
          <w:color w:val="auto"/>
          <w:kern w:val="24"/>
          <w:szCs w:val="21"/>
        </w:rPr>
        <w:t>过程记录，处方保存和查询，权限控制管理等。</w:t>
      </w:r>
    </w:p>
    <w:p>
      <w:pPr>
        <w:pStyle w:val="8"/>
        <w:widowControl w:val="0"/>
        <w:tabs>
          <w:tab w:val="center" w:pos="0"/>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7.4 药品质量管理系统和医疗保险信息系统应当分别符合《药品经营质量管理规范》和医疗保障管理部门的要求。</w:t>
      </w:r>
    </w:p>
    <w:p>
      <w:pPr>
        <w:pStyle w:val="8"/>
        <w:tabs>
          <w:tab w:val="center" w:pos="567"/>
          <w:tab w:val="clear" w:pos="4201"/>
        </w:tabs>
        <w:ind w:left="531" w:hanging="531" w:hangingChars="253"/>
        <w:jc w:val="left"/>
        <w:rPr>
          <w:rFonts w:hint="eastAsia" w:ascii="黑体" w:hAnsi="黑体" w:eastAsia="黑体" w:cs="黑体"/>
          <w:color w:val="auto"/>
          <w:kern w:val="24"/>
          <w:szCs w:val="21"/>
        </w:rPr>
      </w:pP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ascii="黑体" w:hAnsi="黑体" w:eastAsia="黑体" w:cs="黑体"/>
          <w:color w:val="auto"/>
          <w:kern w:val="24"/>
          <w:szCs w:val="21"/>
        </w:rPr>
      </w:pPr>
      <w:r>
        <w:rPr>
          <w:rFonts w:hint="eastAsia" w:ascii="黑体" w:hAnsi="黑体" w:eastAsia="黑体" w:cs="黑体"/>
          <w:color w:val="auto"/>
          <w:kern w:val="24"/>
          <w:szCs w:val="21"/>
        </w:rPr>
        <w:t>8  冷链药品管理</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ascii="黑体" w:hAnsi="黑体" w:eastAsia="黑体" w:cs="黑体"/>
          <w:color w:val="auto"/>
          <w:kern w:val="24"/>
          <w:szCs w:val="21"/>
        </w:rPr>
      </w:pP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8.1 建立完善的冷链药品质量管理体系，冷链管理全过程有记录、可追溯。</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8.2 具有与经营冷链药品规模相适应的储存、配送设施设备，能实现陈列环境温度和储存环境温湿度实时有效监测和调控。</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8.3 冷链药品收货、验收、储存、养护、销售、售后管理规范，操作人员熟悉操作步骤以及相应问题的处理。</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8.4 冷链药品包装与发运符合制度与操作规程要求，具有冷链药品配送服务能力。</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8.5 冷链</w:t>
      </w:r>
      <w:r>
        <w:rPr>
          <w:rFonts w:hAnsi="宋体" w:cs="宋体"/>
          <w:color w:val="auto"/>
          <w:kern w:val="24"/>
          <w:szCs w:val="21"/>
        </w:rPr>
        <w:t>相关设施设备及监测系统符合</w:t>
      </w:r>
      <w:r>
        <w:rPr>
          <w:rFonts w:hint="eastAsia" w:hAnsi="宋体" w:cs="宋体"/>
          <w:color w:val="auto"/>
          <w:kern w:val="24"/>
          <w:szCs w:val="21"/>
        </w:rPr>
        <w:t>冷链</w:t>
      </w:r>
      <w:r>
        <w:rPr>
          <w:rFonts w:hAnsi="宋体" w:cs="宋体"/>
          <w:color w:val="auto"/>
          <w:kern w:val="24"/>
          <w:szCs w:val="21"/>
        </w:rPr>
        <w:t>验证标准和验证操作规程</w:t>
      </w:r>
      <w:r>
        <w:rPr>
          <w:rFonts w:hint="eastAsia" w:hAnsi="宋体" w:cs="宋体"/>
          <w:color w:val="auto"/>
          <w:kern w:val="24"/>
          <w:szCs w:val="21"/>
        </w:rPr>
        <w:t>，并能正常运行，</w:t>
      </w:r>
      <w:r>
        <w:rPr>
          <w:rFonts w:hAnsi="宋体" w:cs="宋体"/>
          <w:color w:val="auto"/>
          <w:kern w:val="24"/>
          <w:szCs w:val="21"/>
        </w:rPr>
        <w:t>验证报告</w:t>
      </w:r>
      <w:r>
        <w:rPr>
          <w:rFonts w:hint="eastAsia" w:hAnsi="宋体" w:cs="宋体"/>
          <w:color w:val="auto"/>
          <w:kern w:val="24"/>
          <w:szCs w:val="21"/>
        </w:rPr>
        <w:t>按规定存档。</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ascii="黑体" w:hAnsi="黑体" w:eastAsia="黑体" w:cs="黑体"/>
          <w:color w:val="auto"/>
          <w:kern w:val="24"/>
          <w:szCs w:val="21"/>
        </w:rPr>
      </w:pPr>
    </w:p>
    <w:p>
      <w:pPr>
        <w:pStyle w:val="8"/>
        <w:tabs>
          <w:tab w:val="center" w:pos="567"/>
          <w:tab w:val="clear" w:pos="4201"/>
        </w:tabs>
        <w:ind w:left="531" w:hanging="531" w:hangingChars="253"/>
        <w:jc w:val="left"/>
        <w:rPr>
          <w:rFonts w:hint="eastAsia" w:ascii="黑体" w:hAnsi="黑体" w:eastAsia="黑体" w:cs="黑体"/>
          <w:color w:val="auto"/>
          <w:kern w:val="24"/>
          <w:szCs w:val="21"/>
        </w:rPr>
      </w:pPr>
      <w:r>
        <w:rPr>
          <w:rFonts w:hint="eastAsia" w:ascii="黑体" w:hAnsi="黑体" w:eastAsia="黑体" w:cs="黑体"/>
          <w:color w:val="auto"/>
          <w:kern w:val="24"/>
          <w:szCs w:val="21"/>
        </w:rPr>
        <w:t>9  药学服务管理</w:t>
      </w:r>
    </w:p>
    <w:p>
      <w:pPr>
        <w:pStyle w:val="8"/>
        <w:tabs>
          <w:tab w:val="center" w:pos="567"/>
          <w:tab w:val="clear" w:pos="4201"/>
        </w:tabs>
        <w:ind w:left="531" w:hanging="531" w:hangingChars="253"/>
        <w:jc w:val="left"/>
        <w:rPr>
          <w:rFonts w:hint="eastAsia" w:ascii="黑体" w:hAnsi="黑体" w:eastAsia="黑体" w:cs="黑体"/>
          <w:color w:val="auto"/>
          <w:kern w:val="24"/>
          <w:szCs w:val="21"/>
        </w:rPr>
      </w:pP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9.1</w:t>
      </w:r>
      <w:r>
        <w:rPr>
          <w:rFonts w:hAnsi="宋体" w:cs="宋体"/>
          <w:color w:val="auto"/>
          <w:kern w:val="24"/>
          <w:szCs w:val="21"/>
        </w:rPr>
        <w:t xml:space="preserve"> </w:t>
      </w:r>
      <w:r>
        <w:rPr>
          <w:rFonts w:hint="eastAsia" w:hAnsi="宋体" w:cs="宋体"/>
          <w:color w:val="auto"/>
          <w:kern w:val="24"/>
          <w:szCs w:val="21"/>
          <w:lang w:eastAsia="zh-CN"/>
        </w:rPr>
        <w:t>执业药师和药师</w:t>
      </w:r>
      <w:r>
        <w:rPr>
          <w:rFonts w:hint="eastAsia" w:hAnsi="宋体" w:cs="宋体"/>
          <w:color w:val="auto"/>
          <w:kern w:val="24"/>
          <w:szCs w:val="21"/>
        </w:rPr>
        <w:t>应当为特殊疾病患者提供用药咨询与用药指导服务，咨询和答复内容应做记录</w:t>
      </w:r>
      <w:r>
        <w:rPr>
          <w:rFonts w:hint="eastAsia" w:hAnsi="宋体" w:cs="宋体"/>
          <w:color w:val="auto"/>
          <w:kern w:val="24"/>
          <w:szCs w:val="21"/>
          <w:lang w:eastAsia="zh-CN"/>
        </w:rPr>
        <w:t>并</w:t>
      </w:r>
      <w:r>
        <w:rPr>
          <w:rFonts w:hint="eastAsia" w:hAnsi="宋体" w:cs="宋体"/>
          <w:color w:val="auto"/>
          <w:kern w:val="24"/>
          <w:szCs w:val="21"/>
        </w:rPr>
        <w:t>保存。</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eastAsia="宋体" w:cs="宋体"/>
          <w:color w:val="auto"/>
          <w:kern w:val="24"/>
          <w:szCs w:val="21"/>
          <w:lang w:eastAsia="zh-CN"/>
        </w:rPr>
      </w:pPr>
      <w:r>
        <w:rPr>
          <w:rFonts w:hint="eastAsia" w:hAnsi="宋体" w:cs="宋体"/>
          <w:color w:val="auto"/>
          <w:kern w:val="24"/>
          <w:szCs w:val="21"/>
        </w:rPr>
        <w:t>9.1.1 在用药咨询和指导时应当对患者生活习惯、疾病情况、用药情况等进行询问，特别要关注老年、儿童、肝肾功能损害、多病共存人群的用药情况，综合判断给予客观的指导意见</w:t>
      </w:r>
      <w:r>
        <w:rPr>
          <w:rFonts w:hint="eastAsia" w:hAnsi="宋体" w:cs="宋体"/>
          <w:color w:val="auto"/>
          <w:kern w:val="24"/>
          <w:szCs w:val="21"/>
          <w:lang w:eastAsia="zh-CN"/>
        </w:rPr>
        <w:t>。</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9.1.2 对用药复杂或记忆有困难的患者可提供用药指导单。</w:t>
      </w:r>
    </w:p>
    <w:p>
      <w:pPr>
        <w:pStyle w:val="8"/>
        <w:widowControl w:val="0"/>
        <w:tabs>
          <w:tab w:val="center" w:pos="567"/>
          <w:tab w:val="clear" w:pos="4201"/>
        </w:tabs>
        <w:topLinePunct/>
        <w:autoSpaceDE/>
        <w:autoSpaceDN/>
        <w:spacing w:before="156" w:beforeLines="50" w:after="156" w:afterLines="50"/>
        <w:ind w:firstLine="0" w:firstLineChars="0"/>
        <w:jc w:val="left"/>
        <w:rPr>
          <w:rFonts w:hAnsi="宋体" w:cs="宋体"/>
          <w:color w:val="auto"/>
          <w:kern w:val="24"/>
          <w:szCs w:val="21"/>
        </w:rPr>
      </w:pPr>
      <w:r>
        <w:rPr>
          <w:rFonts w:hint="eastAsia" w:hAnsi="宋体" w:cs="宋体"/>
          <w:color w:val="auto"/>
          <w:kern w:val="24"/>
          <w:szCs w:val="21"/>
        </w:rPr>
        <w:t>9.1.3 定期总结用药咨询内容，通过整理分析提高</w:t>
      </w:r>
      <w:r>
        <w:rPr>
          <w:rFonts w:hint="eastAsia" w:hAnsi="宋体" w:cs="宋体"/>
          <w:color w:val="auto"/>
          <w:kern w:val="24"/>
          <w:szCs w:val="21"/>
          <w:lang w:eastAsia="zh-CN"/>
        </w:rPr>
        <w:t>执业药师和药师提供用药</w:t>
      </w:r>
      <w:r>
        <w:rPr>
          <w:rFonts w:hint="eastAsia" w:hAnsi="宋体" w:cs="宋体"/>
          <w:color w:val="auto"/>
          <w:kern w:val="24"/>
          <w:szCs w:val="21"/>
        </w:rPr>
        <w:t>咨询服务标准化水平。</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9.2 执业药师和药师应能结合临床治疗方案，为特殊疾病患者提供药物治疗管理服务。</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9.2.1 为</w:t>
      </w:r>
      <w:r>
        <w:rPr>
          <w:rFonts w:hint="eastAsia" w:hAnsi="宋体" w:cs="宋体"/>
          <w:color w:val="auto"/>
          <w:kern w:val="24"/>
          <w:szCs w:val="21"/>
          <w:lang w:eastAsia="zh-CN"/>
        </w:rPr>
        <w:t>特殊疾</w:t>
      </w:r>
      <w:r>
        <w:rPr>
          <w:rFonts w:hint="eastAsia" w:hAnsi="宋体" w:cs="宋体"/>
          <w:color w:val="auto"/>
          <w:kern w:val="24"/>
          <w:szCs w:val="21"/>
        </w:rPr>
        <w:t>病患者建立药历，持续跟踪患者的用药情况，发现、解决和预防患者药物治疗相关问题。</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9.2.2 药历记录内容应包含特病患者基本信息、疾病情况、使用的药物、用药效果评估、用药指导、健康指导以及回访情况等。</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 xml:space="preserve">9.3 开展特殊疾病药品使用和健康管理的科普教育，帮助患者正确使用药品，提升生命质量。 </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9.4 配备供药学技术人员使用的及时更新的专业工具书或参考资料，配备必要的专业设备。</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ascii="黑体" w:hAnsi="黑体" w:eastAsia="黑体" w:cs="黑体"/>
          <w:color w:val="auto"/>
          <w:kern w:val="24"/>
          <w:szCs w:val="21"/>
        </w:rPr>
      </w:pPr>
      <w:r>
        <w:rPr>
          <w:rFonts w:hint="eastAsia" w:ascii="黑体" w:hAnsi="黑体" w:eastAsia="黑体" w:cs="黑体"/>
          <w:color w:val="auto"/>
          <w:kern w:val="24"/>
          <w:szCs w:val="21"/>
        </w:rPr>
        <w:t>10  药物警戒管理</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10.1开展药物警戒工作，建立用药监测制度，对药物使用的安全性和有效性进行监测、分析、评估。</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10.2 进行药物效益、危害、有效及风险评估，促进其安全、合理及有效应用；防范与用药相关的安全问题发生，提高患者在用药、治疗及辅助医疗方面的安全性；教育、告知患者有关药物的安全问题及注意事项，保障涉及用药的公众健康与安全。</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10.3 建立药品不良反应、用药错误和药物损害事件监测报告制度，</w:t>
      </w:r>
      <w:r>
        <w:rPr>
          <w:rFonts w:hint="eastAsia" w:hAnsi="宋体" w:cs="宋体"/>
          <w:color w:val="auto"/>
          <w:kern w:val="24"/>
          <w:szCs w:val="21"/>
          <w:lang w:eastAsia="zh-CN"/>
        </w:rPr>
        <w:t>由</w:t>
      </w:r>
      <w:r>
        <w:rPr>
          <w:rFonts w:hint="eastAsia" w:hAnsi="宋体" w:cs="宋体"/>
          <w:color w:val="auto"/>
          <w:kern w:val="24"/>
          <w:szCs w:val="21"/>
        </w:rPr>
        <w:t>专人负责，发现药品不良反应、用药错误和药品损害事件后进行分析和评估，做好相应记录，按规定程序上报；需要召回的，应当及时召回。</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p>
    <w:p>
      <w:pPr>
        <w:pStyle w:val="7"/>
        <w:widowControl w:val="0"/>
        <w:numPr>
          <w:ilvl w:val="0"/>
          <w:numId w:val="0"/>
        </w:numPr>
        <w:topLinePunct/>
        <w:spacing w:before="156" w:beforeLines="50" w:after="156" w:afterLines="50"/>
        <w:jc w:val="left"/>
        <w:outlineLvl w:val="9"/>
        <w:rPr>
          <w:rFonts w:hint="eastAsia" w:hAnsi="黑体" w:cs="黑体"/>
          <w:color w:val="auto"/>
          <w:kern w:val="24"/>
          <w:szCs w:val="21"/>
        </w:rPr>
      </w:pPr>
      <w:r>
        <w:rPr>
          <w:rFonts w:hint="eastAsia" w:hAnsi="黑体" w:cs="黑体"/>
          <w:color w:val="auto"/>
          <w:kern w:val="24"/>
          <w:szCs w:val="21"/>
        </w:rPr>
        <w:t>11  制度建设</w:t>
      </w:r>
    </w:p>
    <w:p>
      <w:pPr>
        <w:pStyle w:val="8"/>
        <w:rPr>
          <w:rFonts w:hint="eastAsia"/>
          <w:color w:val="auto"/>
        </w:rPr>
      </w:pP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11.1 人员配置与岗位职责，包括但不仅限于人员资质要求、岗位职责。</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11.2人员培训管理制度与培训档案，包括培训计划、培训及考核的内容与记录等。</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11.3经营环境管理与设施设备配置制度，包括特殊疾病药品经营环境管理、陈列设施设备管理、冷藏（冷冻）设施设备配置管理、信息网络系统及硬件设备配置管理等。</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11.4 冷链药品相关管理制度与标准操作规程，包括收货及验收管理，储存管理，零售包装、发运，设施设备验证管理等。</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11.5 处方调剂制度与标准操作规程，包括处方审核、调剂和交付、差错处理、处方信息化管理等。</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11.6 药学服务制度与标准操作规程，包括用药咨询和指导、用药回访、药历书写规范、药物及健康知识宣教、病种与品种服务规程、药学信息收集等。</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11.7 特殊药品配送服务制度与标准操作规程。</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11.8 药物警戒管理制度，包括信息收集、不良反应上报、用药错误和药物损害事件监测报告等。</w:t>
      </w:r>
    </w:p>
    <w:p>
      <w:pPr>
        <w:pStyle w:val="8"/>
        <w:tabs>
          <w:tab w:val="center" w:pos="567"/>
        </w:tabs>
        <w:topLinePunct/>
        <w:spacing w:before="156" w:beforeLines="50" w:after="156" w:afterLines="50"/>
        <w:ind w:firstLine="0" w:firstLineChars="0"/>
        <w:jc w:val="left"/>
        <w:rPr>
          <w:rFonts w:hAnsi="宋体" w:cs="宋体"/>
          <w:color w:val="auto"/>
          <w:kern w:val="24"/>
          <w:szCs w:val="21"/>
        </w:rPr>
      </w:pPr>
      <w:r>
        <w:rPr>
          <w:rFonts w:hint="eastAsia" w:hAnsi="宋体" w:cs="宋体"/>
          <w:color w:val="auto"/>
          <w:kern w:val="24"/>
          <w:szCs w:val="21"/>
        </w:rPr>
        <w:t>11.9 援助药品领用与管理制度(承担援助药品项目的)。</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r>
        <w:rPr>
          <w:rFonts w:hint="eastAsia" w:hAnsi="宋体" w:cs="宋体"/>
          <w:color w:val="auto"/>
          <w:kern w:val="24"/>
          <w:szCs w:val="21"/>
        </w:rPr>
        <w:t>11.10 突发事件处理制度与应急预案，包括药品保障、用药纠纷、药品质量事故、冷链保障等。</w:t>
      </w:r>
    </w:p>
    <w:p>
      <w:pPr>
        <w:pStyle w:val="8"/>
        <w:widowControl w:val="0"/>
        <w:tabs>
          <w:tab w:val="center" w:pos="567"/>
          <w:tab w:val="clear" w:pos="4201"/>
        </w:tabs>
        <w:topLinePunct/>
        <w:autoSpaceDE/>
        <w:autoSpaceDN/>
        <w:spacing w:before="156" w:beforeLines="50" w:after="156" w:afterLines="50"/>
        <w:ind w:firstLine="0" w:firstLineChars="0"/>
        <w:jc w:val="left"/>
        <w:rPr>
          <w:rFonts w:hint="eastAsia" w:hAnsi="宋体" w:cs="宋体"/>
          <w:color w:val="auto"/>
          <w:kern w:val="24"/>
          <w:szCs w:val="21"/>
        </w:rPr>
      </w:pPr>
    </w:p>
    <w:p>
      <w:pPr>
        <w:pStyle w:val="7"/>
        <w:widowControl w:val="0"/>
        <w:numPr>
          <w:ilvl w:val="0"/>
          <w:numId w:val="0"/>
        </w:numPr>
        <w:topLinePunct/>
        <w:spacing w:before="156" w:beforeLines="50" w:after="156" w:afterLines="50" w:line="276" w:lineRule="auto"/>
        <w:jc w:val="left"/>
        <w:outlineLvl w:val="9"/>
        <w:rPr>
          <w:rFonts w:hint="eastAsia" w:hAnsi="宋体" w:cs="宋体"/>
          <w:color w:val="auto"/>
          <w:kern w:val="24"/>
          <w:sz w:val="22"/>
          <w:szCs w:val="22"/>
        </w:rPr>
      </w:pPr>
      <w:r>
        <w:rPr>
          <w:rFonts w:hint="eastAsia" w:hAnsi="黑体" w:cs="黑体"/>
          <w:color w:val="auto"/>
          <w:szCs w:val="21"/>
        </w:rPr>
        <w:t xml:space="preserve">12  </w:t>
      </w:r>
      <w:r>
        <w:rPr>
          <w:rFonts w:hint="eastAsia" w:hAnsi="宋体" w:cs="宋体"/>
          <w:color w:val="auto"/>
          <w:kern w:val="24"/>
          <w:sz w:val="22"/>
          <w:szCs w:val="22"/>
        </w:rPr>
        <w:t>评价和达标</w:t>
      </w:r>
    </w:p>
    <w:p>
      <w:pPr>
        <w:pStyle w:val="8"/>
        <w:rPr>
          <w:rFonts w:hint="eastAsia"/>
          <w:color w:val="auto"/>
        </w:rPr>
      </w:pPr>
    </w:p>
    <w:p>
      <w:pPr>
        <w:widowControl/>
        <w:tabs>
          <w:tab w:val="center" w:pos="567"/>
          <w:tab w:val="right" w:leader="dot" w:pos="9298"/>
        </w:tabs>
        <w:autoSpaceDE w:val="0"/>
        <w:autoSpaceDN w:val="0"/>
        <w:spacing w:after="200" w:line="276" w:lineRule="auto"/>
        <w:jc w:val="left"/>
        <w:rPr>
          <w:rFonts w:hint="eastAsia"/>
          <w:color w:val="auto"/>
          <w:kern w:val="24"/>
          <w:sz w:val="22"/>
        </w:rPr>
      </w:pPr>
      <w:r>
        <w:rPr>
          <w:rFonts w:hint="eastAsia"/>
          <w:color w:val="auto"/>
          <w:kern w:val="24"/>
          <w:sz w:val="22"/>
        </w:rPr>
        <w:t>12.1 特药药房服务规范达标检查工作，在商务部指导下由行业协会组织开展，并制定相应的管理办法和达标检查标准。</w:t>
      </w:r>
    </w:p>
    <w:p>
      <w:pPr>
        <w:widowControl/>
        <w:tabs>
          <w:tab w:val="center" w:pos="567"/>
          <w:tab w:val="right" w:leader="dot" w:pos="9298"/>
        </w:tabs>
        <w:autoSpaceDE w:val="0"/>
        <w:autoSpaceDN w:val="0"/>
        <w:spacing w:after="200" w:line="276" w:lineRule="auto"/>
        <w:jc w:val="left"/>
        <w:rPr>
          <w:rFonts w:hint="eastAsia"/>
          <w:color w:val="auto"/>
          <w:kern w:val="24"/>
          <w:sz w:val="22"/>
        </w:rPr>
      </w:pPr>
      <w:r>
        <w:rPr>
          <w:rFonts w:hint="eastAsia"/>
          <w:color w:val="auto"/>
          <w:kern w:val="24"/>
          <w:sz w:val="22"/>
        </w:rPr>
        <w:t>12.2 行业协会定期</w:t>
      </w:r>
      <w:r>
        <w:rPr>
          <w:color w:val="auto"/>
          <w:kern w:val="24"/>
          <w:sz w:val="22"/>
        </w:rPr>
        <w:t>对</w:t>
      </w:r>
      <w:r>
        <w:rPr>
          <w:rFonts w:hint="eastAsia"/>
          <w:color w:val="auto"/>
          <w:kern w:val="24"/>
          <w:sz w:val="22"/>
        </w:rPr>
        <w:t>达标特药</w:t>
      </w:r>
      <w:r>
        <w:rPr>
          <w:color w:val="auto"/>
          <w:kern w:val="24"/>
          <w:sz w:val="22"/>
        </w:rPr>
        <w:t>药</w:t>
      </w:r>
      <w:r>
        <w:rPr>
          <w:rFonts w:hint="eastAsia"/>
          <w:color w:val="auto"/>
          <w:kern w:val="24"/>
          <w:sz w:val="22"/>
        </w:rPr>
        <w:t>房</w:t>
      </w:r>
      <w:r>
        <w:rPr>
          <w:color w:val="auto"/>
          <w:kern w:val="24"/>
          <w:sz w:val="22"/>
        </w:rPr>
        <w:t>进行</w:t>
      </w:r>
      <w:r>
        <w:rPr>
          <w:rFonts w:hint="eastAsia"/>
          <w:color w:val="auto"/>
          <w:kern w:val="24"/>
          <w:sz w:val="22"/>
        </w:rPr>
        <w:t>抽查及</w:t>
      </w:r>
      <w:r>
        <w:rPr>
          <w:color w:val="auto"/>
          <w:kern w:val="24"/>
          <w:sz w:val="22"/>
        </w:rPr>
        <w:t>考核</w:t>
      </w:r>
      <w:r>
        <w:rPr>
          <w:rFonts w:hint="eastAsia"/>
          <w:color w:val="auto"/>
          <w:kern w:val="24"/>
          <w:sz w:val="22"/>
        </w:rPr>
        <w:t>；</w:t>
      </w:r>
      <w:r>
        <w:rPr>
          <w:color w:val="auto"/>
          <w:kern w:val="24"/>
          <w:sz w:val="22"/>
        </w:rPr>
        <w:t>如</w:t>
      </w:r>
      <w:r>
        <w:rPr>
          <w:rFonts w:hint="eastAsia"/>
          <w:color w:val="auto"/>
          <w:kern w:val="24"/>
          <w:sz w:val="22"/>
        </w:rPr>
        <w:t>被抽查及考核的药房不符合</w:t>
      </w:r>
      <w:r>
        <w:rPr>
          <w:color w:val="auto"/>
          <w:kern w:val="24"/>
          <w:sz w:val="22"/>
        </w:rPr>
        <w:t>要求，则</w:t>
      </w:r>
      <w:r>
        <w:rPr>
          <w:rFonts w:hint="eastAsia"/>
          <w:color w:val="auto"/>
          <w:kern w:val="24"/>
          <w:sz w:val="22"/>
        </w:rPr>
        <w:t>有权撤销该药房特药药房达标结果。</w:t>
      </w:r>
    </w:p>
    <w:p>
      <w:pPr>
        <w:widowControl/>
        <w:tabs>
          <w:tab w:val="center" w:pos="567"/>
          <w:tab w:val="right" w:leader="dot" w:pos="9298"/>
        </w:tabs>
        <w:autoSpaceDE w:val="0"/>
        <w:autoSpaceDN w:val="0"/>
        <w:spacing w:after="200" w:line="276" w:lineRule="auto"/>
        <w:jc w:val="left"/>
        <w:rPr>
          <w:rFonts w:hint="eastAsia"/>
          <w:color w:val="auto"/>
          <w:kern w:val="24"/>
          <w:sz w:val="22"/>
        </w:rPr>
      </w:pPr>
      <w:r>
        <w:rPr>
          <w:rFonts w:hint="eastAsia"/>
          <w:color w:val="auto"/>
          <w:kern w:val="24"/>
          <w:sz w:val="22"/>
        </w:rPr>
        <w:t>12.3 达标的特药药房每年应当对本药房经营特殊疾病药品服务规范工作进行自我评价，并提交年度自查报告。</w:t>
      </w:r>
    </w:p>
    <w:p>
      <w:pPr>
        <w:widowControl/>
        <w:tabs>
          <w:tab w:val="center" w:pos="567"/>
          <w:tab w:val="right" w:leader="dot" w:pos="9298"/>
        </w:tabs>
        <w:autoSpaceDE w:val="0"/>
        <w:autoSpaceDN w:val="0"/>
        <w:spacing w:after="200" w:line="276" w:lineRule="auto"/>
        <w:jc w:val="left"/>
        <w:rPr>
          <w:rFonts w:hint="eastAsia"/>
          <w:color w:val="auto"/>
          <w:kern w:val="24"/>
          <w:sz w:val="22"/>
        </w:rPr>
      </w:pPr>
      <w:r>
        <w:rPr>
          <w:rFonts w:hint="eastAsia"/>
          <w:color w:val="auto"/>
          <w:kern w:val="24"/>
          <w:sz w:val="22"/>
        </w:rPr>
        <w:t>12.4 行业内可进行达标特药药房综合评价；行业综合评价结果通过行业协会网站及相关媒体向社会公布。</w:t>
      </w:r>
    </w:p>
    <w:p>
      <w:pPr>
        <w:pStyle w:val="8"/>
        <w:ind w:firstLine="0" w:firstLineChars="0"/>
        <w:rPr>
          <w:rFonts w:hint="eastAsia" w:hAnsi="黑体" w:cs="黑体"/>
          <w:color w:val="auto"/>
          <w:kern w:val="24"/>
          <w:szCs w:val="21"/>
          <w:highlight w:val="yellow"/>
        </w:rPr>
      </w:pPr>
    </w:p>
    <w:p>
      <w:pPr>
        <w:pStyle w:val="8"/>
        <w:ind w:firstLine="0" w:firstLineChars="0"/>
        <w:rPr>
          <w:rFonts w:hint="eastAsia" w:hAnsi="黑体" w:cs="黑体"/>
          <w:color w:val="auto"/>
          <w:kern w:val="24"/>
          <w:szCs w:val="21"/>
          <w:highlight w:val="yellow"/>
        </w:rPr>
      </w:pPr>
    </w:p>
    <w:p>
      <w:pPr>
        <w:pStyle w:val="8"/>
        <w:ind w:firstLine="0" w:firstLineChars="0"/>
        <w:rPr>
          <w:rFonts w:hint="eastAsia" w:hAnsi="黑体" w:cs="黑体"/>
          <w:color w:val="auto"/>
          <w:kern w:val="24"/>
          <w:szCs w:val="21"/>
          <w:highlight w:val="yellow"/>
        </w:rPr>
      </w:pPr>
    </w:p>
    <w:p>
      <w:pPr>
        <w:pStyle w:val="8"/>
        <w:ind w:firstLine="0" w:firstLineChars="0"/>
        <w:rPr>
          <w:rFonts w:hint="eastAsia" w:hAnsi="黑体" w:cs="黑体"/>
          <w:color w:val="auto"/>
          <w:kern w:val="24"/>
          <w:szCs w:val="21"/>
          <w:highlight w:val="yellow"/>
        </w:rPr>
      </w:pPr>
    </w:p>
    <w:p>
      <w:pPr>
        <w:pStyle w:val="8"/>
        <w:ind w:firstLine="0" w:firstLineChars="0"/>
        <w:rPr>
          <w:rFonts w:hint="eastAsia" w:hAnsi="黑体" w:cs="黑体"/>
          <w:color w:val="auto"/>
          <w:kern w:val="24"/>
          <w:szCs w:val="21"/>
          <w:highlight w:val="yellow"/>
        </w:rPr>
      </w:pPr>
    </w:p>
    <w:p>
      <w:pPr>
        <w:pStyle w:val="8"/>
        <w:ind w:firstLine="0" w:firstLineChars="0"/>
        <w:rPr>
          <w:rFonts w:hint="eastAsia" w:hAnsi="黑体" w:cs="黑体"/>
          <w:color w:val="auto"/>
          <w:kern w:val="24"/>
          <w:szCs w:val="21"/>
          <w:highlight w:val="yellow"/>
        </w:rPr>
      </w:pPr>
    </w:p>
    <w:p>
      <w:pPr>
        <w:pStyle w:val="7"/>
        <w:widowControl w:val="0"/>
        <w:numPr>
          <w:ilvl w:val="0"/>
          <w:numId w:val="0"/>
        </w:numPr>
        <w:topLinePunct/>
        <w:spacing w:before="156" w:beforeLines="50" w:after="156" w:afterLines="50"/>
        <w:outlineLvl w:val="9"/>
        <w:rPr>
          <w:rFonts w:hint="eastAsia" w:hAnsi="黑体" w:cs="黑体"/>
          <w:color w:val="auto"/>
          <w:kern w:val="24"/>
          <w:szCs w:val="21"/>
        </w:rPr>
      </w:pPr>
    </w:p>
    <w:p>
      <w:pPr>
        <w:pStyle w:val="7"/>
        <w:widowControl w:val="0"/>
        <w:numPr>
          <w:ilvl w:val="0"/>
          <w:numId w:val="0"/>
        </w:numPr>
        <w:topLinePunct/>
        <w:spacing w:before="156" w:beforeLines="50" w:after="156" w:afterLines="50"/>
        <w:outlineLvl w:val="9"/>
        <w:rPr>
          <w:rFonts w:hint="eastAsia" w:hAnsi="黑体" w:cs="黑体"/>
          <w:color w:val="auto"/>
          <w:kern w:val="24"/>
          <w:szCs w:val="21"/>
        </w:rPr>
      </w:pPr>
    </w:p>
    <w:p>
      <w:pPr>
        <w:pStyle w:val="7"/>
        <w:widowControl w:val="0"/>
        <w:numPr>
          <w:ilvl w:val="0"/>
          <w:numId w:val="0"/>
        </w:numPr>
        <w:topLinePunct/>
        <w:spacing w:before="156" w:beforeLines="50" w:after="156" w:afterLines="50"/>
        <w:outlineLvl w:val="9"/>
        <w:rPr>
          <w:rFonts w:hint="eastAsia" w:hAnsi="黑体" w:cs="黑体"/>
          <w:color w:val="auto"/>
          <w:kern w:val="24"/>
          <w:szCs w:val="21"/>
        </w:rPr>
      </w:pPr>
    </w:p>
    <w:p>
      <w:pPr>
        <w:pStyle w:val="7"/>
        <w:widowControl w:val="0"/>
        <w:numPr>
          <w:ilvl w:val="0"/>
          <w:numId w:val="0"/>
        </w:numPr>
        <w:topLinePunct/>
        <w:spacing w:before="156" w:beforeLines="50" w:after="156" w:afterLines="50"/>
        <w:outlineLvl w:val="9"/>
        <w:rPr>
          <w:rFonts w:hint="eastAsia" w:hAnsi="黑体" w:cs="黑体"/>
          <w:color w:val="auto"/>
          <w:kern w:val="24"/>
          <w:szCs w:val="21"/>
        </w:rPr>
      </w:pPr>
    </w:p>
    <w:p>
      <w:pPr>
        <w:pStyle w:val="7"/>
        <w:widowControl w:val="0"/>
        <w:numPr>
          <w:ilvl w:val="0"/>
          <w:numId w:val="0"/>
        </w:numPr>
        <w:topLinePunct/>
        <w:spacing w:before="156" w:beforeLines="50" w:after="156" w:afterLines="50"/>
        <w:outlineLvl w:val="9"/>
        <w:rPr>
          <w:rFonts w:hint="eastAsia" w:hAnsi="黑体" w:cs="黑体"/>
          <w:color w:val="auto"/>
          <w:kern w:val="24"/>
          <w:szCs w:val="21"/>
        </w:rPr>
      </w:pPr>
    </w:p>
    <w:p>
      <w:pPr>
        <w:pStyle w:val="7"/>
        <w:widowControl w:val="0"/>
        <w:numPr>
          <w:ilvl w:val="0"/>
          <w:numId w:val="0"/>
        </w:numPr>
        <w:topLinePunct/>
        <w:spacing w:before="156" w:beforeLines="50" w:after="156" w:afterLines="50"/>
        <w:outlineLvl w:val="9"/>
        <w:rPr>
          <w:rFonts w:hint="eastAsia" w:hAnsi="黑体" w:cs="黑体"/>
          <w:color w:val="auto"/>
          <w:kern w:val="24"/>
          <w:szCs w:val="21"/>
        </w:rPr>
      </w:pPr>
    </w:p>
    <w:p>
      <w:pPr>
        <w:pStyle w:val="7"/>
        <w:widowControl w:val="0"/>
        <w:numPr>
          <w:ilvl w:val="0"/>
          <w:numId w:val="0"/>
        </w:numPr>
        <w:topLinePunct/>
        <w:spacing w:before="156" w:beforeLines="50" w:after="156" w:afterLines="50"/>
        <w:outlineLvl w:val="9"/>
        <w:rPr>
          <w:rFonts w:hint="eastAsia" w:hAnsi="黑体" w:cs="黑体"/>
          <w:color w:val="auto"/>
          <w:kern w:val="24"/>
          <w:szCs w:val="21"/>
        </w:rPr>
      </w:pPr>
    </w:p>
    <w:p>
      <w:pPr>
        <w:pStyle w:val="7"/>
        <w:widowControl w:val="0"/>
        <w:numPr>
          <w:ilvl w:val="0"/>
          <w:numId w:val="0"/>
        </w:numPr>
        <w:topLinePunct/>
        <w:spacing w:before="156" w:beforeLines="50" w:after="156" w:afterLines="50"/>
        <w:outlineLvl w:val="9"/>
        <w:rPr>
          <w:rFonts w:hint="eastAsia" w:hAnsi="黑体" w:cs="黑体"/>
          <w:color w:val="auto"/>
          <w:kern w:val="24"/>
          <w:szCs w:val="21"/>
        </w:rPr>
      </w:pPr>
    </w:p>
    <w:p>
      <w:pPr>
        <w:pStyle w:val="7"/>
        <w:widowControl w:val="0"/>
        <w:numPr>
          <w:ilvl w:val="0"/>
          <w:numId w:val="0"/>
        </w:numPr>
        <w:topLinePunct/>
        <w:spacing w:before="156" w:beforeLines="50" w:after="156" w:afterLines="50"/>
        <w:outlineLvl w:val="9"/>
        <w:rPr>
          <w:rFonts w:hint="eastAsia" w:hAnsi="黑体" w:cs="黑体"/>
          <w:color w:val="auto"/>
          <w:kern w:val="24"/>
          <w:szCs w:val="21"/>
        </w:rPr>
      </w:pPr>
    </w:p>
    <w:p>
      <w:pPr>
        <w:pStyle w:val="7"/>
        <w:widowControl w:val="0"/>
        <w:numPr>
          <w:ilvl w:val="0"/>
          <w:numId w:val="0"/>
        </w:numPr>
        <w:topLinePunct/>
        <w:spacing w:before="156" w:beforeLines="50" w:after="156" w:afterLines="50"/>
        <w:outlineLvl w:val="9"/>
        <w:rPr>
          <w:rFonts w:hint="eastAsia" w:hAnsi="黑体" w:cs="黑体"/>
          <w:color w:val="auto"/>
          <w:kern w:val="24"/>
          <w:szCs w:val="21"/>
        </w:rPr>
      </w:pPr>
    </w:p>
    <w:p>
      <w:pPr>
        <w:pStyle w:val="7"/>
        <w:widowControl w:val="0"/>
        <w:numPr>
          <w:ilvl w:val="0"/>
          <w:numId w:val="0"/>
        </w:numPr>
        <w:topLinePunct/>
        <w:spacing w:before="156" w:beforeLines="50" w:after="156" w:afterLines="50"/>
        <w:outlineLvl w:val="9"/>
        <w:rPr>
          <w:rFonts w:hint="eastAsia" w:hAnsi="黑体" w:cs="黑体"/>
          <w:color w:val="auto"/>
          <w:kern w:val="24"/>
          <w:szCs w:val="21"/>
        </w:rPr>
      </w:pPr>
    </w:p>
    <w:p>
      <w:pPr>
        <w:pStyle w:val="7"/>
        <w:widowControl w:val="0"/>
        <w:numPr>
          <w:ilvl w:val="0"/>
          <w:numId w:val="0"/>
        </w:numPr>
        <w:topLinePunct/>
        <w:spacing w:before="156" w:beforeLines="50" w:after="156" w:afterLines="50"/>
        <w:outlineLvl w:val="9"/>
        <w:rPr>
          <w:rFonts w:hint="eastAsia" w:hAnsi="黑体" w:cs="黑体"/>
          <w:color w:val="auto"/>
          <w:kern w:val="24"/>
          <w:szCs w:val="21"/>
        </w:rPr>
      </w:pPr>
    </w:p>
    <w:p>
      <w:pPr>
        <w:pStyle w:val="7"/>
        <w:widowControl w:val="0"/>
        <w:numPr>
          <w:ilvl w:val="0"/>
          <w:numId w:val="0"/>
        </w:numPr>
        <w:topLinePunct/>
        <w:spacing w:before="156" w:beforeLines="50" w:after="156" w:afterLines="50"/>
        <w:outlineLvl w:val="9"/>
        <w:rPr>
          <w:rFonts w:hint="eastAsia" w:hAnsi="黑体" w:cs="黑体"/>
          <w:color w:val="auto"/>
          <w:kern w:val="24"/>
          <w:szCs w:val="21"/>
        </w:rPr>
      </w:pPr>
    </w:p>
    <w:p>
      <w:pPr>
        <w:pStyle w:val="7"/>
        <w:widowControl w:val="0"/>
        <w:numPr>
          <w:ilvl w:val="0"/>
          <w:numId w:val="0"/>
        </w:numPr>
        <w:topLinePunct/>
        <w:spacing w:before="156" w:beforeLines="50" w:after="156" w:afterLines="50"/>
        <w:outlineLvl w:val="9"/>
        <w:rPr>
          <w:rFonts w:hint="eastAsia" w:hAnsi="黑体" w:cs="黑体"/>
          <w:color w:val="auto"/>
          <w:kern w:val="24"/>
          <w:szCs w:val="21"/>
        </w:rPr>
      </w:pPr>
    </w:p>
    <w:p>
      <w:pPr>
        <w:pStyle w:val="7"/>
        <w:widowControl w:val="0"/>
        <w:numPr>
          <w:ilvl w:val="0"/>
          <w:numId w:val="0"/>
        </w:numPr>
        <w:topLinePunct/>
        <w:spacing w:before="156" w:beforeLines="50" w:after="156" w:afterLines="50"/>
        <w:outlineLvl w:val="9"/>
        <w:rPr>
          <w:rFonts w:hint="eastAsia" w:hAnsi="黑体" w:cs="黑体"/>
          <w:color w:val="auto"/>
          <w:kern w:val="24"/>
          <w:szCs w:val="21"/>
        </w:rPr>
      </w:pPr>
    </w:p>
    <w:p>
      <w:pPr>
        <w:pStyle w:val="7"/>
        <w:widowControl w:val="0"/>
        <w:numPr>
          <w:ilvl w:val="0"/>
          <w:numId w:val="0"/>
        </w:numPr>
        <w:topLinePunct/>
        <w:spacing w:before="156" w:beforeLines="50" w:after="156" w:afterLines="50"/>
        <w:outlineLvl w:val="9"/>
        <w:rPr>
          <w:rFonts w:hint="eastAsia" w:hAnsi="黑体" w:cs="黑体"/>
          <w:color w:val="auto"/>
          <w:kern w:val="24"/>
          <w:szCs w:val="21"/>
        </w:rPr>
      </w:pPr>
    </w:p>
    <w:p>
      <w:pPr>
        <w:pStyle w:val="7"/>
        <w:widowControl w:val="0"/>
        <w:numPr>
          <w:ilvl w:val="0"/>
          <w:numId w:val="0"/>
        </w:numPr>
        <w:topLinePunct/>
        <w:spacing w:before="156" w:beforeLines="50" w:after="156" w:afterLines="50"/>
        <w:outlineLvl w:val="9"/>
        <w:rPr>
          <w:rFonts w:hint="eastAsia" w:hAnsi="黑体" w:cs="黑体"/>
          <w:color w:val="auto"/>
          <w:kern w:val="24"/>
          <w:szCs w:val="21"/>
        </w:rPr>
      </w:pPr>
    </w:p>
    <w:p>
      <w:pPr>
        <w:pStyle w:val="7"/>
        <w:widowControl w:val="0"/>
        <w:numPr>
          <w:ilvl w:val="0"/>
          <w:numId w:val="0"/>
        </w:numPr>
        <w:topLinePunct/>
        <w:spacing w:before="156" w:beforeLines="50" w:after="156" w:afterLines="50"/>
        <w:outlineLvl w:val="9"/>
        <w:rPr>
          <w:rFonts w:hint="eastAsia" w:hAnsi="黑体" w:cs="黑体"/>
          <w:color w:val="auto"/>
          <w:kern w:val="24"/>
          <w:szCs w:val="21"/>
        </w:rPr>
      </w:pPr>
    </w:p>
    <w:p>
      <w:pPr>
        <w:pStyle w:val="7"/>
        <w:widowControl w:val="0"/>
        <w:numPr>
          <w:ilvl w:val="0"/>
          <w:numId w:val="0"/>
        </w:numPr>
        <w:topLinePunct/>
        <w:spacing w:before="156" w:beforeLines="50" w:after="156" w:afterLines="50"/>
        <w:outlineLvl w:val="9"/>
        <w:rPr>
          <w:rFonts w:hint="eastAsia" w:hAnsi="黑体" w:cs="黑体"/>
          <w:color w:val="auto"/>
          <w:kern w:val="24"/>
          <w:szCs w:val="21"/>
        </w:rPr>
      </w:pPr>
    </w:p>
    <w:p>
      <w:pPr>
        <w:pStyle w:val="7"/>
        <w:widowControl w:val="0"/>
        <w:numPr>
          <w:ilvl w:val="0"/>
          <w:numId w:val="0"/>
        </w:numPr>
        <w:topLinePunct/>
        <w:spacing w:before="156" w:beforeLines="50" w:after="156" w:afterLines="50"/>
        <w:outlineLvl w:val="9"/>
        <w:rPr>
          <w:rFonts w:hint="eastAsia" w:hAnsi="黑体" w:cs="黑体"/>
          <w:color w:val="auto"/>
          <w:kern w:val="24"/>
          <w:szCs w:val="21"/>
        </w:rPr>
      </w:pPr>
    </w:p>
    <w:p>
      <w:pPr>
        <w:pStyle w:val="7"/>
        <w:widowControl w:val="0"/>
        <w:numPr>
          <w:ilvl w:val="0"/>
          <w:numId w:val="0"/>
        </w:numPr>
        <w:topLinePunct/>
        <w:spacing w:before="156" w:beforeLines="50" w:after="156" w:afterLines="50"/>
        <w:jc w:val="center"/>
        <w:outlineLvl w:val="9"/>
        <w:rPr>
          <w:rFonts w:hint="eastAsia" w:hAnsi="黑体" w:cs="黑体"/>
          <w:color w:val="auto"/>
          <w:kern w:val="24"/>
          <w:szCs w:val="21"/>
        </w:rPr>
      </w:pPr>
      <w:r>
        <w:rPr>
          <w:rFonts w:hint="eastAsia" w:hAnsi="黑体" w:cs="黑体"/>
          <w:color w:val="auto"/>
          <w:kern w:val="24"/>
          <w:szCs w:val="21"/>
        </w:rPr>
        <w:t>参考文献</w:t>
      </w:r>
    </w:p>
    <w:p>
      <w:pPr>
        <w:pStyle w:val="7"/>
        <w:widowControl w:val="0"/>
        <w:numPr>
          <w:ilvl w:val="0"/>
          <w:numId w:val="0"/>
        </w:numPr>
        <w:topLinePunct/>
        <w:spacing w:before="156" w:beforeLines="50" w:after="156" w:afterLines="50"/>
        <w:ind w:firstLine="420" w:firstLineChars="200"/>
        <w:jc w:val="left"/>
        <w:outlineLvl w:val="9"/>
        <w:rPr>
          <w:rFonts w:hint="eastAsia" w:ascii="宋体" w:hAnsi="宋体" w:eastAsia="宋体" w:cs="宋体"/>
          <w:color w:val="auto"/>
          <w:kern w:val="24"/>
          <w:szCs w:val="21"/>
        </w:rPr>
      </w:pPr>
      <w:r>
        <w:rPr>
          <w:rFonts w:hint="eastAsia" w:ascii="宋体" w:hAnsi="宋体" w:eastAsia="宋体" w:cs="宋体"/>
          <w:color w:val="auto"/>
          <w:kern w:val="24"/>
          <w:szCs w:val="21"/>
        </w:rPr>
        <w:t>［1］</w:t>
      </w:r>
      <w:r>
        <w:rPr>
          <w:rFonts w:hint="eastAsia" w:ascii="宋体" w:hAnsi="宋体" w:eastAsia="宋体" w:cs="宋体"/>
          <w:color w:val="auto"/>
          <w:kern w:val="24"/>
          <w:szCs w:val="21"/>
          <w:lang w:val="en-US" w:eastAsia="zh-CN"/>
        </w:rPr>
        <w:t xml:space="preserve"> </w:t>
      </w:r>
      <w:r>
        <w:rPr>
          <w:rFonts w:hint="eastAsia" w:ascii="宋体" w:hAnsi="宋体" w:eastAsia="宋体" w:cs="宋体"/>
          <w:color w:val="auto"/>
          <w:kern w:val="24"/>
          <w:szCs w:val="21"/>
        </w:rPr>
        <w:t>药品不良反应报告和监测管理办法</w:t>
      </w:r>
      <w:r>
        <w:rPr>
          <w:rFonts w:hint="eastAsia" w:ascii="宋体" w:hAnsi="宋体" w:eastAsia="宋体" w:cs="宋体"/>
          <w:color w:val="auto"/>
          <w:kern w:val="24"/>
          <w:szCs w:val="21"/>
          <w:lang w:val="en-US" w:eastAsia="zh-CN"/>
        </w:rPr>
        <w:t xml:space="preserve">  </w:t>
      </w:r>
      <w:r>
        <w:rPr>
          <w:rFonts w:hint="eastAsia" w:ascii="宋体" w:hAnsi="宋体" w:eastAsia="宋体" w:cs="宋体"/>
          <w:color w:val="auto"/>
          <w:kern w:val="24"/>
          <w:szCs w:val="21"/>
        </w:rPr>
        <w:t>原卫生部令第81号</w:t>
      </w:r>
    </w:p>
    <w:p>
      <w:pPr>
        <w:pStyle w:val="7"/>
        <w:widowControl w:val="0"/>
        <w:numPr>
          <w:ilvl w:val="0"/>
          <w:numId w:val="0"/>
        </w:numPr>
        <w:topLinePunct/>
        <w:spacing w:before="156" w:beforeLines="50" w:after="156" w:afterLines="50"/>
        <w:ind w:firstLine="420" w:firstLineChars="200"/>
        <w:jc w:val="left"/>
        <w:outlineLvl w:val="9"/>
        <w:rPr>
          <w:rFonts w:hint="eastAsia" w:ascii="宋体" w:hAnsi="宋体" w:eastAsia="宋体" w:cs="宋体"/>
          <w:color w:val="auto"/>
          <w:kern w:val="24"/>
          <w:szCs w:val="21"/>
        </w:rPr>
      </w:pPr>
      <w:r>
        <w:rPr>
          <w:rFonts w:hint="eastAsia" w:ascii="宋体" w:hAnsi="宋体" w:eastAsia="宋体" w:cs="宋体"/>
          <w:color w:val="auto"/>
          <w:kern w:val="24"/>
          <w:szCs w:val="21"/>
        </w:rPr>
        <w:t>［2］</w:t>
      </w:r>
      <w:r>
        <w:rPr>
          <w:rFonts w:hint="eastAsia" w:ascii="宋体" w:hAnsi="宋体" w:eastAsia="宋体" w:cs="宋体"/>
          <w:color w:val="auto"/>
          <w:kern w:val="24"/>
          <w:szCs w:val="21"/>
          <w:lang w:val="en-US" w:eastAsia="zh-CN"/>
        </w:rPr>
        <w:t xml:space="preserve"> </w:t>
      </w:r>
      <w:r>
        <w:rPr>
          <w:rFonts w:hint="eastAsia" w:ascii="宋体" w:hAnsi="宋体" w:eastAsia="宋体" w:cs="宋体"/>
          <w:color w:val="auto"/>
          <w:kern w:val="24"/>
          <w:szCs w:val="21"/>
          <w:lang w:eastAsia="zh-CN"/>
        </w:rPr>
        <w:t>药品流通监督</w:t>
      </w:r>
      <w:r>
        <w:rPr>
          <w:rFonts w:hint="eastAsia" w:ascii="宋体" w:hAnsi="宋体" w:eastAsia="宋体" w:cs="宋体"/>
          <w:color w:val="auto"/>
          <w:kern w:val="24"/>
          <w:szCs w:val="21"/>
        </w:rPr>
        <w:t>管理</w:t>
      </w:r>
      <w:r>
        <w:rPr>
          <w:rFonts w:hint="eastAsia" w:ascii="宋体" w:hAnsi="宋体" w:eastAsia="宋体" w:cs="宋体"/>
          <w:color w:val="auto"/>
          <w:kern w:val="24"/>
          <w:szCs w:val="21"/>
          <w:lang w:eastAsia="zh-CN"/>
        </w:rPr>
        <w:t>办法</w:t>
      </w:r>
      <w:r>
        <w:rPr>
          <w:rFonts w:hint="eastAsia" w:ascii="宋体" w:hAnsi="宋体" w:eastAsia="宋体" w:cs="宋体"/>
          <w:color w:val="auto"/>
          <w:kern w:val="24"/>
          <w:szCs w:val="21"/>
          <w:lang w:val="en-US" w:eastAsia="zh-CN"/>
        </w:rPr>
        <w:t xml:space="preserve">  </w:t>
      </w:r>
      <w:r>
        <w:rPr>
          <w:rFonts w:hint="eastAsia" w:ascii="宋体" w:hAnsi="宋体" w:eastAsia="宋体" w:cs="宋体"/>
          <w:color w:val="auto"/>
          <w:kern w:val="24"/>
          <w:szCs w:val="21"/>
        </w:rPr>
        <w:t>原国家食品药品监督管理局令第2</w:t>
      </w:r>
      <w:r>
        <w:rPr>
          <w:rFonts w:hint="eastAsia" w:ascii="宋体" w:hAnsi="宋体" w:eastAsia="宋体" w:cs="宋体"/>
          <w:color w:val="auto"/>
          <w:kern w:val="24"/>
          <w:szCs w:val="21"/>
          <w:lang w:val="en-US" w:eastAsia="zh-CN"/>
        </w:rPr>
        <w:t>6</w:t>
      </w:r>
      <w:r>
        <w:rPr>
          <w:rFonts w:hint="eastAsia" w:ascii="宋体" w:hAnsi="宋体" w:eastAsia="宋体" w:cs="宋体"/>
          <w:color w:val="auto"/>
          <w:kern w:val="24"/>
          <w:szCs w:val="21"/>
        </w:rPr>
        <w:t xml:space="preserve">号 </w:t>
      </w:r>
    </w:p>
    <w:p>
      <w:pPr>
        <w:pStyle w:val="7"/>
        <w:widowControl w:val="0"/>
        <w:numPr>
          <w:ilvl w:val="0"/>
          <w:numId w:val="0"/>
        </w:numPr>
        <w:topLinePunct/>
        <w:spacing w:before="156" w:beforeLines="50" w:after="156" w:afterLines="50"/>
        <w:ind w:firstLine="420" w:firstLineChars="200"/>
        <w:jc w:val="left"/>
        <w:outlineLvl w:val="9"/>
        <w:rPr>
          <w:rFonts w:hint="eastAsia" w:ascii="宋体" w:hAnsi="宋体" w:eastAsia="宋体" w:cs="宋体"/>
          <w:color w:val="auto"/>
          <w:kern w:val="24"/>
          <w:szCs w:val="21"/>
          <w:lang w:val="en-US" w:eastAsia="zh-CN"/>
        </w:rPr>
      </w:pPr>
      <w:r>
        <w:rPr>
          <w:rFonts w:hint="eastAsia" w:ascii="宋体" w:hAnsi="宋体" w:eastAsia="宋体" w:cs="宋体"/>
          <w:color w:val="auto"/>
          <w:kern w:val="24"/>
          <w:szCs w:val="21"/>
        </w:rPr>
        <w:t>［</w:t>
      </w:r>
      <w:r>
        <w:rPr>
          <w:rFonts w:hint="eastAsia" w:ascii="宋体" w:hAnsi="宋体" w:eastAsia="宋体" w:cs="宋体"/>
          <w:color w:val="auto"/>
          <w:kern w:val="24"/>
          <w:szCs w:val="21"/>
          <w:lang w:val="en-US" w:eastAsia="zh-CN"/>
        </w:rPr>
        <w:t>3</w:t>
      </w:r>
      <w:r>
        <w:rPr>
          <w:rFonts w:hint="eastAsia" w:ascii="宋体" w:hAnsi="宋体" w:eastAsia="宋体" w:cs="宋体"/>
          <w:color w:val="auto"/>
          <w:kern w:val="24"/>
          <w:szCs w:val="21"/>
        </w:rPr>
        <w:t>］</w:t>
      </w:r>
      <w:r>
        <w:rPr>
          <w:rFonts w:hint="eastAsia" w:ascii="宋体" w:hAnsi="宋体" w:eastAsia="宋体" w:cs="宋体"/>
          <w:color w:val="auto"/>
          <w:kern w:val="24"/>
          <w:szCs w:val="21"/>
          <w:lang w:val="en-US" w:eastAsia="zh-CN"/>
        </w:rPr>
        <w:t xml:space="preserve"> </w:t>
      </w:r>
      <w:r>
        <w:rPr>
          <w:rFonts w:hint="eastAsia" w:ascii="宋体" w:hAnsi="宋体" w:eastAsia="宋体" w:cs="宋体"/>
          <w:color w:val="auto"/>
          <w:kern w:val="24"/>
          <w:szCs w:val="21"/>
        </w:rPr>
        <w:t>处方</w:t>
      </w:r>
      <w:r>
        <w:rPr>
          <w:rFonts w:hint="eastAsia" w:ascii="宋体" w:hAnsi="宋体" w:eastAsia="宋体" w:cs="宋体"/>
          <w:color w:val="auto"/>
          <w:kern w:val="24"/>
          <w:szCs w:val="21"/>
          <w:lang w:eastAsia="zh-CN"/>
        </w:rPr>
        <w:t>药与非处方药分类</w:t>
      </w:r>
      <w:r>
        <w:rPr>
          <w:rFonts w:hint="eastAsia" w:ascii="宋体" w:hAnsi="宋体" w:eastAsia="宋体" w:cs="宋体"/>
          <w:color w:val="auto"/>
          <w:kern w:val="24"/>
          <w:szCs w:val="21"/>
        </w:rPr>
        <w:t>管理办法</w:t>
      </w:r>
      <w:r>
        <w:rPr>
          <w:rFonts w:hint="eastAsia" w:ascii="宋体" w:hAnsi="宋体" w:eastAsia="宋体" w:cs="宋体"/>
          <w:color w:val="auto"/>
          <w:kern w:val="24"/>
          <w:szCs w:val="21"/>
          <w:lang w:eastAsia="zh-CN"/>
        </w:rPr>
        <w:t>（试行）</w:t>
      </w:r>
      <w:r>
        <w:rPr>
          <w:rFonts w:hint="eastAsia" w:ascii="宋体" w:hAnsi="宋体" w:eastAsia="宋体" w:cs="宋体"/>
          <w:color w:val="auto"/>
          <w:kern w:val="24"/>
          <w:szCs w:val="21"/>
          <w:lang w:val="en-US" w:eastAsia="zh-CN"/>
        </w:rPr>
        <w:t xml:space="preserve"> </w:t>
      </w:r>
      <w:r>
        <w:rPr>
          <w:rFonts w:hint="eastAsia" w:ascii="宋体" w:hAnsi="宋体" w:eastAsia="宋体" w:cs="宋体"/>
          <w:color w:val="auto"/>
          <w:kern w:val="24"/>
          <w:szCs w:val="21"/>
        </w:rPr>
        <w:t>原</w:t>
      </w:r>
      <w:r>
        <w:rPr>
          <w:rFonts w:hint="eastAsia" w:ascii="宋体" w:hAnsi="宋体" w:eastAsia="宋体" w:cs="宋体"/>
          <w:color w:val="auto"/>
          <w:kern w:val="24"/>
          <w:szCs w:val="21"/>
          <w:lang w:eastAsia="zh-CN"/>
        </w:rPr>
        <w:t>国家药品监督管理局令第</w:t>
      </w:r>
      <w:r>
        <w:rPr>
          <w:rFonts w:hint="eastAsia" w:ascii="宋体" w:hAnsi="宋体" w:eastAsia="宋体" w:cs="宋体"/>
          <w:color w:val="auto"/>
          <w:kern w:val="24"/>
          <w:szCs w:val="21"/>
          <w:lang w:val="en-US" w:eastAsia="zh-CN"/>
        </w:rPr>
        <w:t>10号</w:t>
      </w:r>
    </w:p>
    <w:p>
      <w:pPr>
        <w:pStyle w:val="7"/>
        <w:widowControl w:val="0"/>
        <w:numPr>
          <w:ilvl w:val="0"/>
          <w:numId w:val="0"/>
        </w:numPr>
        <w:topLinePunct/>
        <w:spacing w:before="156" w:beforeLines="50" w:after="156" w:afterLines="50"/>
        <w:ind w:firstLine="420" w:firstLineChars="200"/>
        <w:jc w:val="left"/>
        <w:outlineLvl w:val="9"/>
        <w:rPr>
          <w:rFonts w:hint="eastAsia" w:ascii="宋体" w:hAnsi="宋体" w:eastAsia="宋体" w:cs="宋体"/>
          <w:color w:val="auto"/>
          <w:kern w:val="24"/>
          <w:szCs w:val="21"/>
          <w:lang w:val="en-US" w:eastAsia="zh-CN"/>
        </w:rPr>
      </w:pPr>
      <w:r>
        <w:rPr>
          <w:rFonts w:hint="eastAsia" w:ascii="宋体" w:hAnsi="宋体" w:eastAsia="宋体" w:cs="宋体"/>
          <w:color w:val="auto"/>
          <w:kern w:val="24"/>
          <w:szCs w:val="21"/>
          <w:lang w:val="en-US" w:eastAsia="zh-CN"/>
        </w:rPr>
        <w:t>［4］ 中华人民共和国消费者权益保护法  中华人民共和国主席令第7号</w:t>
      </w:r>
    </w:p>
    <w:p>
      <w:pPr>
        <w:pStyle w:val="8"/>
        <w:rPr>
          <w:rFonts w:hint="eastAsia"/>
          <w:color w:val="auto"/>
          <w:lang w:val="en-US" w:eastAsia="zh-CN"/>
        </w:rPr>
      </w:pPr>
    </w:p>
    <w:p>
      <w:pPr>
        <w:pStyle w:val="8"/>
        <w:tabs>
          <w:tab w:val="center" w:pos="567"/>
          <w:tab w:val="clear" w:pos="4201"/>
        </w:tabs>
        <w:jc w:val="left"/>
        <w:rPr>
          <w:rFonts w:hint="eastAsia" w:hAnsi="宋体" w:cs="宋体"/>
          <w:kern w:val="24"/>
          <w:szCs w:val="21"/>
        </w:rPr>
      </w:pPr>
    </w:p>
    <w:p>
      <w:pPr>
        <w:pStyle w:val="8"/>
        <w:rPr>
          <w:rFonts w:hint="eastAsia"/>
        </w:rPr>
      </w:pPr>
    </w:p>
    <w:bookmarkEnd w:id="0"/>
    <w:bookmarkEnd w:id="1"/>
    <w:bookmarkEnd w:id="2"/>
    <w:p>
      <w:pPr>
        <w:ind w:left="2310" w:leftChars="1100"/>
        <w:rPr>
          <w:rFonts w:hint="eastAsia" w:ascii="黑体" w:hAnsi="黑体" w:eastAsia="黑体" w:cs="黑体"/>
          <w:b/>
          <w:kern w:val="24"/>
          <w:szCs w:val="21"/>
          <w:u w:val="single"/>
        </w:rPr>
      </w:pPr>
      <w:r>
        <w:rPr>
          <w:rFonts w:hint="eastAsia" w:ascii="黑体" w:hAnsi="黑体" w:eastAsia="黑体" w:cs="黑体"/>
          <w:b/>
          <w:kern w:val="24"/>
          <w:szCs w:val="21"/>
          <w:u w:val="single"/>
        </w:rPr>
        <w:t xml:space="preserve">                              </w:t>
      </w:r>
    </w:p>
    <w:p>
      <w:pPr>
        <w:spacing w:line="500" w:lineRule="exact"/>
        <w:ind w:firstLine="600" w:firstLineChars="200"/>
        <w:jc w:val="left"/>
        <w:rPr>
          <w:rFonts w:hint="eastAsia" w:ascii="仿宋_GB2312" w:eastAsia="仿宋_GB2312"/>
          <w:sz w:val="30"/>
          <w:szCs w:val="30"/>
        </w:rPr>
      </w:pPr>
    </w:p>
    <w:p>
      <w:bookmarkStart w:id="3" w:name="_GoBack"/>
      <w:bookmarkEnd w:id="3"/>
    </w:p>
    <w:sectPr>
      <w:headerReference r:id="rId4" w:type="first"/>
      <w:headerReference r:id="rId3" w:type="default"/>
      <w:footerReference r:id="rId5" w:type="default"/>
      <w:footerReference r:id="rId6" w:type="even"/>
      <w:pgSz w:w="11906" w:h="16838"/>
      <w:pgMar w:top="1440" w:right="1644" w:bottom="1440" w:left="164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8</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6300"/>
      </w:tabs>
      <w:jc w:val="both"/>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9"/>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suff w:val="nothing"/>
      <w:lvlText w:val="%1.%2.%3　"/>
      <w:lvlJc w:val="left"/>
      <w:pPr>
        <w:ind w:left="567"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5243184D"/>
    <w:multiLevelType w:val="multilevel"/>
    <w:tmpl w:val="5243184D"/>
    <w:lvl w:ilvl="0" w:tentative="0">
      <w:start w:val="3"/>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1800"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A343E4"/>
    <w:rsid w:val="09A343E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 w:type="paragraph" w:styleId="3">
    <w:name w:val="header"/>
    <w:basedOn w:val="1"/>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 w:type="paragraph" w:customStyle="1" w:styleId="7">
    <w:name w:val="章标题"/>
    <w:next w:val="8"/>
    <w:uiPriority w:val="0"/>
    <w:pPr>
      <w:numPr>
        <w:ilvl w:val="1"/>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8">
    <w:name w:val="段"/>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1"/>
      <w:lang w:bidi="ar-SA"/>
    </w:rPr>
  </w:style>
  <w:style w:type="paragraph" w:customStyle="1" w:styleId="9">
    <w:name w:val="一级条标题"/>
    <w:next w:val="8"/>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2019-02-20T01:42:00Z</dcterms:created>
  <dc:creator>好运1406953790</dc:creator>
  <cp:lastModifiedBy>好运1406953790</cp:lastModifiedBy>
  <dcterms:modified xsi:type="dcterms:W3CDTF">2019-02-20T01:42:34Z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