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40B" w:rsidRDefault="0035440B" w:rsidP="0035440B">
      <w:pPr>
        <w:adjustRightInd w:val="0"/>
        <w:snapToGrid w:val="0"/>
        <w:spacing w:line="600" w:lineRule="exact"/>
        <w:jc w:val="left"/>
        <w:rPr>
          <w:rFonts w:eastAsia="黑体" w:hAnsi="黑体"/>
          <w:sz w:val="32"/>
          <w:szCs w:val="32"/>
        </w:rPr>
      </w:pPr>
      <w:r>
        <w:rPr>
          <w:rFonts w:eastAsia="黑体" w:hAnsi="黑体" w:hint="eastAsia"/>
          <w:sz w:val="32"/>
          <w:szCs w:val="32"/>
        </w:rPr>
        <w:t>附件</w:t>
      </w:r>
    </w:p>
    <w:p w:rsidR="0035440B" w:rsidRDefault="0035440B" w:rsidP="0035440B">
      <w:pPr>
        <w:adjustRightInd w:val="0"/>
        <w:snapToGrid w:val="0"/>
        <w:spacing w:line="600" w:lineRule="exact"/>
        <w:jc w:val="center"/>
        <w:rPr>
          <w:rFonts w:eastAsia="方正小标宋简体"/>
          <w:bCs/>
          <w:sz w:val="44"/>
          <w:szCs w:val="44"/>
        </w:rPr>
      </w:pPr>
    </w:p>
    <w:p w:rsidR="00E3744D" w:rsidRDefault="00E3744D" w:rsidP="00E3744D">
      <w:pPr>
        <w:adjustRightInd w:val="0"/>
        <w:snapToGrid w:val="0"/>
        <w:spacing w:line="600" w:lineRule="exact"/>
        <w:jc w:val="center"/>
        <w:rPr>
          <w:rFonts w:eastAsia="方正小标宋简体"/>
          <w:sz w:val="44"/>
          <w:szCs w:val="44"/>
        </w:rPr>
      </w:pPr>
      <w:r>
        <w:rPr>
          <w:rFonts w:eastAsia="方正小标宋简体"/>
          <w:sz w:val="44"/>
          <w:szCs w:val="44"/>
        </w:rPr>
        <w:t>关于加强中医医疗器械科技创新的指导意见</w:t>
      </w:r>
    </w:p>
    <w:p w:rsidR="00E3744D" w:rsidRDefault="00E3744D" w:rsidP="00E3744D">
      <w:pPr>
        <w:adjustRightInd w:val="0"/>
        <w:snapToGrid w:val="0"/>
        <w:spacing w:line="600" w:lineRule="exact"/>
        <w:ind w:firstLineChars="200" w:firstLine="643"/>
        <w:rPr>
          <w:rFonts w:eastAsia="仿宋"/>
          <w:b/>
          <w:sz w:val="32"/>
          <w:szCs w:val="30"/>
        </w:rPr>
      </w:pPr>
      <w:bookmarkStart w:id="0" w:name="_GoBack"/>
      <w:bookmarkEnd w:id="0"/>
    </w:p>
    <w:p w:rsidR="00E3744D" w:rsidRDefault="00E3744D" w:rsidP="00E3744D">
      <w:pPr>
        <w:spacing w:line="600" w:lineRule="exact"/>
        <w:ind w:firstLineChars="200" w:firstLine="640"/>
        <w:rPr>
          <w:rFonts w:ascii="仿宋_GB2312" w:eastAsia="仿宋_GB2312" w:hAnsi="仿宋_GB2312" w:cs="仿宋_GB2312"/>
          <w:color w:val="000000"/>
          <w:spacing w:val="-4"/>
          <w:sz w:val="32"/>
          <w:szCs w:val="32"/>
        </w:rPr>
      </w:pPr>
      <w:r>
        <w:rPr>
          <w:rFonts w:ascii="仿宋_GB2312" w:eastAsia="仿宋_GB2312" w:cs="仿宋_GB2312" w:hint="eastAsia"/>
          <w:sz w:val="32"/>
          <w:szCs w:val="32"/>
        </w:rPr>
        <w:t>中医医疗器械是指在中医药理论指导下研发和应用的医疗器械，包括开展针灸、刮痧、拔罐等诊疗活动应用的传统中医医疗器械和四诊仪、经络检测仪、电针治疗仪等中医药理论与现代科学技术相结合的现代中医医疗器械。</w:t>
      </w:r>
      <w:r>
        <w:rPr>
          <w:rFonts w:ascii="仿宋_GB2312" w:eastAsia="仿宋_GB2312" w:hint="eastAsia"/>
          <w:color w:val="000000"/>
          <w:spacing w:val="-4"/>
          <w:sz w:val="32"/>
          <w:szCs w:val="32"/>
        </w:rPr>
        <w:t>为加强中医医疗器械科技创新，提升中医医</w:t>
      </w:r>
      <w:r>
        <w:rPr>
          <w:rFonts w:ascii="仿宋_GB2312" w:eastAsia="仿宋_GB2312" w:hAnsi="仿宋_GB2312" w:cs="仿宋_GB2312" w:hint="eastAsia"/>
          <w:color w:val="000000"/>
          <w:spacing w:val="-4"/>
          <w:sz w:val="32"/>
          <w:szCs w:val="32"/>
        </w:rPr>
        <w:t>疗器械产业创新能力，</w:t>
      </w:r>
      <w:r>
        <w:rPr>
          <w:rFonts w:ascii="仿宋_GB2312" w:eastAsia="仿宋_GB2312" w:hAnsi="仿宋_GB2312" w:cs="仿宋_GB2312" w:hint="eastAsia"/>
          <w:spacing w:val="-4"/>
          <w:sz w:val="32"/>
          <w:szCs w:val="32"/>
        </w:rPr>
        <w:t>更好地满足中医医疗服务需要与人民群众健康需求</w:t>
      </w:r>
      <w:r>
        <w:rPr>
          <w:rFonts w:ascii="仿宋_GB2312" w:eastAsia="仿宋_GB2312" w:hAnsi="仿宋_GB2312" w:cs="仿宋_GB2312" w:hint="eastAsia"/>
          <w:color w:val="000000"/>
          <w:spacing w:val="-4"/>
          <w:sz w:val="32"/>
          <w:szCs w:val="32"/>
        </w:rPr>
        <w:t>，依据《中医药发展战略规划纲要（2016—2030年）》《“健康中国2030”规划纲要》《关于促进医药产业健康发展的指导意见》《“十三五”中医药科技创新专项规划》和《“十三五”医疗器械科技创新专项规划》有关文件要求，特制定本指导意见。</w:t>
      </w:r>
    </w:p>
    <w:p w:rsidR="00E3744D" w:rsidRDefault="00E3744D" w:rsidP="00E3744D">
      <w:pPr>
        <w:adjustRightInd w:val="0"/>
        <w:snapToGrid w:val="0"/>
        <w:spacing w:line="600" w:lineRule="exact"/>
        <w:ind w:firstLineChars="200" w:firstLine="640"/>
        <w:rPr>
          <w:rFonts w:eastAsia="黑体"/>
          <w:color w:val="000000"/>
          <w:sz w:val="32"/>
          <w:szCs w:val="32"/>
        </w:rPr>
      </w:pPr>
      <w:r>
        <w:rPr>
          <w:rFonts w:eastAsia="黑体" w:hAnsi="黑体"/>
          <w:color w:val="000000"/>
          <w:sz w:val="32"/>
          <w:szCs w:val="32"/>
        </w:rPr>
        <w:t>一、总体要求</w:t>
      </w:r>
    </w:p>
    <w:p w:rsidR="00E3744D" w:rsidRDefault="00E3744D" w:rsidP="00E3744D">
      <w:pPr>
        <w:adjustRightInd w:val="0"/>
        <w:snapToGrid w:val="0"/>
        <w:spacing w:line="600" w:lineRule="exact"/>
        <w:ind w:firstLineChars="200" w:firstLine="643"/>
        <w:rPr>
          <w:rFonts w:ascii="仿宋_GB2312" w:eastAsia="仿宋_GB2312"/>
          <w:color w:val="000000"/>
          <w:sz w:val="32"/>
          <w:szCs w:val="32"/>
        </w:rPr>
      </w:pPr>
      <w:r w:rsidRPr="00E3744D">
        <w:rPr>
          <w:rFonts w:ascii="楷体_GB2312" w:eastAsia="楷体_GB2312" w:hAnsi="楷体" w:hint="eastAsia"/>
          <w:b/>
          <w:color w:val="000000"/>
          <w:sz w:val="32"/>
          <w:szCs w:val="32"/>
        </w:rPr>
        <w:t>（一）指导思想。</w:t>
      </w:r>
      <w:r>
        <w:rPr>
          <w:rFonts w:ascii="仿宋_GB2312" w:eastAsia="仿宋_GB2312" w:hint="eastAsia"/>
          <w:color w:val="000000"/>
          <w:sz w:val="32"/>
          <w:szCs w:val="32"/>
        </w:rPr>
        <w:t>全面贯彻落实党的十九大精神，坚持以习近平新时代中国特色社会主义思想为指导，针对当前中医医疗器械的临床服务需要与产业发展需求，</w:t>
      </w:r>
      <w:r>
        <w:rPr>
          <w:rFonts w:ascii="仿宋_GB2312" w:eastAsia="仿宋_GB2312" w:hint="eastAsia"/>
          <w:color w:val="000000"/>
          <w:kern w:val="0"/>
          <w:sz w:val="32"/>
          <w:szCs w:val="32"/>
        </w:rPr>
        <w:t>以突破核心技术与研发重大产品为重点，加强医教研企多学科、跨行业协同创新</w:t>
      </w:r>
      <w:r>
        <w:rPr>
          <w:rFonts w:ascii="仿宋_GB2312" w:eastAsia="仿宋_GB2312" w:hint="eastAsia"/>
          <w:color w:val="000000"/>
          <w:sz w:val="32"/>
          <w:szCs w:val="32"/>
        </w:rPr>
        <w:t>，在中医理论的指导下，充分应用现代科学技术，推动高端中医医疗器械的研究、开发、生产和应用，提升中医医疗器械产业自主创新能力，填补中医医疗器械产品空白。</w:t>
      </w:r>
    </w:p>
    <w:p w:rsidR="00E3744D" w:rsidRDefault="00E3744D" w:rsidP="00E3744D">
      <w:pPr>
        <w:adjustRightInd w:val="0"/>
        <w:snapToGrid w:val="0"/>
        <w:spacing w:line="600" w:lineRule="exact"/>
        <w:ind w:firstLineChars="200" w:firstLine="643"/>
        <w:rPr>
          <w:rFonts w:ascii="仿宋_GB2312" w:eastAsia="仿宋_GB2312"/>
          <w:color w:val="000000"/>
          <w:sz w:val="32"/>
          <w:szCs w:val="32"/>
        </w:rPr>
      </w:pPr>
      <w:r w:rsidRPr="00E3744D">
        <w:rPr>
          <w:rFonts w:ascii="楷体_GB2312" w:eastAsia="楷体_GB2312" w:hAnsi="楷体"/>
          <w:b/>
          <w:color w:val="000000"/>
          <w:sz w:val="32"/>
          <w:szCs w:val="32"/>
        </w:rPr>
        <w:lastRenderedPageBreak/>
        <w:t>（二）基本原则。</w:t>
      </w:r>
      <w:r>
        <w:rPr>
          <w:rFonts w:ascii="仿宋_GB2312" w:eastAsia="仿宋_GB2312" w:hint="eastAsia"/>
          <w:color w:val="000000"/>
          <w:sz w:val="32"/>
          <w:szCs w:val="32"/>
        </w:rPr>
        <w:t>坚持中医理论指导，强化中医传统诊疗技术方法的传承与创新；坚持服务临床需要，强化市场需求导向；坚持集成创新，引导多学科现代科学技术与中医医疗器械创新需求相融合；坚持发挥企业的主体作用，强化医疗机构、大学、科研院所与企业协同创新；坚持政府引导，强化企业与社会多方参与，强化多元投入机制。</w:t>
      </w:r>
    </w:p>
    <w:p w:rsidR="00E3744D" w:rsidRPr="00E3744D" w:rsidRDefault="00E3744D" w:rsidP="00E3744D">
      <w:pPr>
        <w:adjustRightInd w:val="0"/>
        <w:snapToGrid w:val="0"/>
        <w:spacing w:line="600" w:lineRule="exact"/>
        <w:ind w:firstLineChars="200" w:firstLine="651"/>
        <w:rPr>
          <w:rFonts w:ascii="仿宋_GB2312" w:eastAsia="仿宋_GB2312"/>
          <w:color w:val="000000"/>
          <w:spacing w:val="2"/>
          <w:sz w:val="32"/>
          <w:szCs w:val="32"/>
        </w:rPr>
      </w:pPr>
      <w:r w:rsidRPr="00E3744D">
        <w:rPr>
          <w:rFonts w:ascii="楷体_GB2312" w:eastAsia="楷体_GB2312" w:hAnsi="楷体"/>
          <w:b/>
          <w:color w:val="000000"/>
          <w:spacing w:val="2"/>
          <w:sz w:val="32"/>
          <w:szCs w:val="32"/>
        </w:rPr>
        <w:t>（三）发展目标。</w:t>
      </w:r>
      <w:r w:rsidRPr="00E3744D">
        <w:rPr>
          <w:rFonts w:ascii="仿宋_GB2312" w:eastAsia="仿宋_GB2312" w:hint="eastAsia"/>
          <w:color w:val="000000"/>
          <w:spacing w:val="2"/>
          <w:sz w:val="32"/>
          <w:szCs w:val="32"/>
        </w:rPr>
        <w:t>到2030年，</w:t>
      </w:r>
      <w:r w:rsidRPr="00E3744D">
        <w:rPr>
          <w:rFonts w:ascii="仿宋_GB2312" w:eastAsia="仿宋_GB2312" w:hint="eastAsia"/>
          <w:color w:val="000000"/>
          <w:spacing w:val="2"/>
          <w:kern w:val="0"/>
          <w:sz w:val="32"/>
          <w:szCs w:val="32"/>
        </w:rPr>
        <w:t>中医医疗器械共性关键技术和核心部件的研发取得突破，研发并转化应用一批适应临床需要与市场需求的精细化、集成化、数字化、智能化产品；加强与</w:t>
      </w:r>
      <w:r w:rsidRPr="00E3744D">
        <w:rPr>
          <w:rFonts w:ascii="仿宋_GB2312" w:eastAsia="仿宋_GB2312" w:hint="eastAsia"/>
          <w:spacing w:val="2"/>
          <w:sz w:val="32"/>
          <w:szCs w:val="32"/>
        </w:rPr>
        <w:t>微电子技术、信息科技、材料技术、新一代制造技术、传感技术和生物技术等</w:t>
      </w:r>
      <w:r w:rsidRPr="00E3744D">
        <w:rPr>
          <w:rFonts w:ascii="仿宋_GB2312" w:eastAsia="仿宋_GB2312" w:hint="eastAsia"/>
          <w:color w:val="000000"/>
          <w:spacing w:val="2"/>
          <w:kern w:val="0"/>
          <w:sz w:val="32"/>
          <w:szCs w:val="32"/>
        </w:rPr>
        <w:t>现代科技相融合，</w:t>
      </w:r>
      <w:r w:rsidRPr="00E3744D">
        <w:rPr>
          <w:rFonts w:ascii="仿宋_GB2312" w:eastAsia="仿宋_GB2312" w:hint="eastAsia"/>
          <w:color w:val="000000"/>
          <w:spacing w:val="2"/>
          <w:sz w:val="32"/>
          <w:szCs w:val="32"/>
        </w:rPr>
        <w:t>中医医疗器械性能、质量与科技含量显著提升</w:t>
      </w:r>
      <w:r w:rsidRPr="00E3744D">
        <w:rPr>
          <w:rFonts w:ascii="仿宋_GB2312" w:eastAsia="仿宋_GB2312" w:hint="eastAsia"/>
          <w:color w:val="000000"/>
          <w:spacing w:val="2"/>
          <w:kern w:val="0"/>
          <w:sz w:val="32"/>
          <w:szCs w:val="32"/>
        </w:rPr>
        <w:t>；进一步加强中医医疗器械科技创新平台体系建设，中医医疗器械标准体系基本完善，培养一批既懂中医又掌握现代科学技术的多学科交叉的研发人才与创新团队；中医医疗器械生产企业的创新作用和能力显著增强，提高产业竞争力与产业化水平</w:t>
      </w:r>
      <w:r w:rsidRPr="00E3744D">
        <w:rPr>
          <w:rFonts w:ascii="仿宋_GB2312" w:eastAsia="仿宋_GB2312" w:hint="eastAsia"/>
          <w:color w:val="000000"/>
          <w:spacing w:val="2"/>
          <w:sz w:val="32"/>
          <w:szCs w:val="32"/>
        </w:rPr>
        <w:t>。</w:t>
      </w:r>
    </w:p>
    <w:p w:rsidR="00E3744D" w:rsidRDefault="00E3744D" w:rsidP="00E3744D">
      <w:pPr>
        <w:adjustRightInd w:val="0"/>
        <w:snapToGrid w:val="0"/>
        <w:spacing w:line="600" w:lineRule="exact"/>
        <w:ind w:firstLineChars="200" w:firstLine="640"/>
        <w:rPr>
          <w:rFonts w:eastAsia="黑体"/>
          <w:color w:val="000000"/>
          <w:sz w:val="32"/>
          <w:szCs w:val="32"/>
        </w:rPr>
      </w:pPr>
      <w:r>
        <w:rPr>
          <w:rFonts w:eastAsia="黑体" w:hAnsi="黑体"/>
          <w:color w:val="000000"/>
          <w:sz w:val="32"/>
          <w:szCs w:val="32"/>
        </w:rPr>
        <w:t>二、加强中医医疗器械产品创新发展</w:t>
      </w:r>
    </w:p>
    <w:p w:rsidR="00E3744D" w:rsidRDefault="00E3744D" w:rsidP="00E3744D">
      <w:pPr>
        <w:adjustRightInd w:val="0"/>
        <w:snapToGrid w:val="0"/>
        <w:spacing w:line="600" w:lineRule="exact"/>
        <w:ind w:firstLineChars="200" w:firstLine="643"/>
        <w:rPr>
          <w:rFonts w:ascii="仿宋_GB2312" w:eastAsia="仿宋_GB2312"/>
          <w:kern w:val="0"/>
          <w:sz w:val="32"/>
          <w:szCs w:val="32"/>
        </w:rPr>
      </w:pPr>
      <w:r w:rsidRPr="00E3744D">
        <w:rPr>
          <w:rFonts w:ascii="楷体_GB2312" w:eastAsia="楷体_GB2312" w:hAnsi="楷体"/>
          <w:b/>
          <w:color w:val="000000"/>
          <w:sz w:val="32"/>
          <w:szCs w:val="32"/>
        </w:rPr>
        <w:t>（四）加强中医医疗器械产品研发。</w:t>
      </w:r>
      <w:r>
        <w:rPr>
          <w:rFonts w:ascii="仿宋_GB2312" w:eastAsia="仿宋_GB2312" w:hint="eastAsia"/>
          <w:kern w:val="0"/>
          <w:sz w:val="32"/>
          <w:szCs w:val="32"/>
        </w:rPr>
        <w:t>以拓宽临床服务范围、满足临床需要为目标，</w:t>
      </w:r>
      <w:r>
        <w:rPr>
          <w:rFonts w:ascii="仿宋_GB2312" w:eastAsia="仿宋_GB2312" w:hint="eastAsia"/>
          <w:sz w:val="32"/>
          <w:szCs w:val="32"/>
        </w:rPr>
        <w:t>集成应用微电子、高可靠性元器件技术、传感技术、云计算、大数据、物联网、移动医疗和人工智能技术等新兴技术，研发</w:t>
      </w:r>
      <w:r>
        <w:rPr>
          <w:rFonts w:ascii="仿宋_GB2312" w:eastAsia="仿宋_GB2312" w:hint="eastAsia"/>
          <w:kern w:val="0"/>
          <w:sz w:val="32"/>
          <w:szCs w:val="32"/>
        </w:rPr>
        <w:t>中医预防、检测、诊断、治疗、康复与监护系列设备。</w:t>
      </w:r>
      <w:r>
        <w:rPr>
          <w:rFonts w:ascii="仿宋_GB2312" w:eastAsia="仿宋_GB2312" w:hint="eastAsia"/>
          <w:color w:val="000000"/>
          <w:sz w:val="32"/>
          <w:szCs w:val="32"/>
        </w:rPr>
        <w:t>应用人工智能技术，挖掘、利用中医药大数据，</w:t>
      </w:r>
      <w:r>
        <w:rPr>
          <w:rFonts w:ascii="仿宋_GB2312" w:eastAsia="仿宋_GB2312" w:hint="eastAsia"/>
          <w:sz w:val="32"/>
          <w:szCs w:val="32"/>
        </w:rPr>
        <w:t>促进中</w:t>
      </w:r>
      <w:r>
        <w:rPr>
          <w:rFonts w:ascii="仿宋_GB2312" w:eastAsia="仿宋_GB2312" w:hint="eastAsia"/>
          <w:sz w:val="32"/>
          <w:szCs w:val="32"/>
        </w:rPr>
        <w:lastRenderedPageBreak/>
        <w:t>医医疗器械与互联网、移动终端融合发展，研发可移动、可穿戴、智能化的“互联网+”中医医疗器械与辅助系统。</w:t>
      </w:r>
      <w:r>
        <w:rPr>
          <w:rFonts w:ascii="仿宋_GB2312" w:eastAsia="仿宋_GB2312" w:hint="eastAsia"/>
          <w:kern w:val="0"/>
          <w:sz w:val="32"/>
          <w:szCs w:val="32"/>
        </w:rPr>
        <w:t>围绕柔性控制、人机耦合、多信息融合和</w:t>
      </w:r>
      <w:r>
        <w:rPr>
          <w:rFonts w:ascii="仿宋_GB2312" w:eastAsia="仿宋_GB2312" w:hint="eastAsia"/>
          <w:sz w:val="32"/>
          <w:szCs w:val="32"/>
        </w:rPr>
        <w:t>处理</w:t>
      </w:r>
      <w:r>
        <w:rPr>
          <w:rFonts w:ascii="仿宋_GB2312" w:eastAsia="仿宋_GB2312" w:hint="eastAsia"/>
          <w:kern w:val="0"/>
          <w:sz w:val="32"/>
          <w:szCs w:val="32"/>
        </w:rPr>
        <w:t>等难点问题，重点突破无创检测、中医诊断信息获取与分析、人体穴位辅助定位、中医智能健康辨识和中医医疗器械临床评价等核心技术，重点研发</w:t>
      </w:r>
      <w:r>
        <w:rPr>
          <w:rFonts w:ascii="仿宋_GB2312" w:eastAsia="仿宋_GB2312" w:hint="eastAsia"/>
          <w:color w:val="000000"/>
          <w:kern w:val="0"/>
          <w:sz w:val="32"/>
          <w:szCs w:val="32"/>
        </w:rPr>
        <w:t>新型智能化脉诊</w:t>
      </w:r>
      <w:r>
        <w:rPr>
          <w:rFonts w:ascii="仿宋_GB2312" w:eastAsia="仿宋_GB2312" w:hint="eastAsia"/>
          <w:color w:val="000000"/>
          <w:spacing w:val="-4"/>
          <w:kern w:val="0"/>
          <w:sz w:val="32"/>
          <w:szCs w:val="32"/>
        </w:rPr>
        <w:t>设备、舌诊设备、</w:t>
      </w:r>
      <w:r>
        <w:rPr>
          <w:rFonts w:ascii="仿宋_GB2312" w:eastAsia="仿宋_GB2312" w:hint="eastAsia"/>
          <w:spacing w:val="-4"/>
          <w:sz w:val="32"/>
          <w:szCs w:val="32"/>
        </w:rPr>
        <w:t>红外热像检测设备、灸疗设备、激光治疗设备、经络检测治疗设备、中医治疗特色疾病的治疗前精准评估设备、中医疗效可视化设备、中医康复器具和睡眠促进设备等中医医疗器械，以及</w:t>
      </w:r>
      <w:r>
        <w:rPr>
          <w:rFonts w:ascii="仿宋_GB2312" w:eastAsia="仿宋_GB2312" w:hint="eastAsia"/>
          <w:color w:val="000000"/>
          <w:spacing w:val="-4"/>
          <w:sz w:val="32"/>
          <w:szCs w:val="32"/>
        </w:rPr>
        <w:t>便于操作、适于家庭或个人使用的中医检测与监测设备；</w:t>
      </w:r>
      <w:r>
        <w:rPr>
          <w:rFonts w:ascii="仿宋_GB2312" w:eastAsia="仿宋_GB2312" w:hint="eastAsia"/>
          <w:spacing w:val="-4"/>
          <w:sz w:val="32"/>
          <w:szCs w:val="32"/>
        </w:rPr>
        <w:t>结合老年人康复与护理需要，研发老年病康复的中医智能康复器具、中医</w:t>
      </w:r>
      <w:r>
        <w:rPr>
          <w:rFonts w:ascii="仿宋_GB2312" w:eastAsia="仿宋_GB2312" w:hint="eastAsia"/>
          <w:spacing w:val="-4"/>
          <w:kern w:val="0"/>
          <w:sz w:val="32"/>
          <w:szCs w:val="32"/>
        </w:rPr>
        <w:t>医疗</w:t>
      </w:r>
      <w:r>
        <w:rPr>
          <w:rFonts w:ascii="仿宋_GB2312" w:eastAsia="仿宋_GB2312" w:hint="eastAsia"/>
          <w:spacing w:val="-4"/>
          <w:sz w:val="32"/>
          <w:szCs w:val="32"/>
        </w:rPr>
        <w:t>服务机器人及相关辅助器械等。</w:t>
      </w:r>
      <w:r>
        <w:rPr>
          <w:rFonts w:ascii="仿宋_GB2312" w:eastAsia="仿宋_GB2312" w:hint="eastAsia"/>
          <w:color w:val="000000"/>
          <w:spacing w:val="-4"/>
          <w:sz w:val="32"/>
          <w:szCs w:val="32"/>
        </w:rPr>
        <w:t>对中医医疗器械应用中产生的诊疗大数据，加强研究分析与开发利用，研制数字化中医诊疗信息的标准与规范，研究建立诊疗大数据汇集、存储、管理和利用的技术、方法、平台、相关工具，提升中医医疗器械水平。</w:t>
      </w:r>
    </w:p>
    <w:p w:rsidR="00E3744D" w:rsidRDefault="00E3744D" w:rsidP="00E3744D">
      <w:pPr>
        <w:adjustRightInd w:val="0"/>
        <w:snapToGrid w:val="0"/>
        <w:spacing w:line="600" w:lineRule="exact"/>
        <w:ind w:firstLineChars="200" w:firstLine="643"/>
        <w:rPr>
          <w:rFonts w:ascii="仿宋_GB2312" w:eastAsia="仿宋_GB2312"/>
          <w:kern w:val="0"/>
          <w:sz w:val="32"/>
          <w:szCs w:val="32"/>
        </w:rPr>
      </w:pPr>
      <w:r w:rsidRPr="00E3744D">
        <w:rPr>
          <w:rFonts w:ascii="楷体_GB2312" w:eastAsia="楷体_GB2312" w:hAnsi="楷体"/>
          <w:b/>
          <w:color w:val="000000"/>
          <w:sz w:val="32"/>
          <w:szCs w:val="32"/>
        </w:rPr>
        <w:t>（五）加快中医医疗器械升级改造。</w:t>
      </w:r>
      <w:r>
        <w:rPr>
          <w:rFonts w:ascii="仿宋_GB2312" w:eastAsia="仿宋_GB2312" w:hint="eastAsia"/>
          <w:kern w:val="0"/>
          <w:sz w:val="32"/>
          <w:szCs w:val="32"/>
        </w:rPr>
        <w:t>以提高中医医疗器械的产品性能、质量与科技含量为目标，利用</w:t>
      </w:r>
      <w:r>
        <w:rPr>
          <w:rFonts w:ascii="仿宋_GB2312" w:eastAsia="仿宋_GB2312" w:hint="eastAsia"/>
          <w:sz w:val="32"/>
          <w:szCs w:val="32"/>
        </w:rPr>
        <w:t>现代多学科技术成果，加强对临床应用广泛、市场需求较大的中医医疗器械进行产品优化与升级迭代，</w:t>
      </w:r>
      <w:r>
        <w:rPr>
          <w:rFonts w:ascii="仿宋_GB2312" w:eastAsia="仿宋_GB2312" w:hint="eastAsia"/>
          <w:kern w:val="0"/>
          <w:sz w:val="32"/>
          <w:szCs w:val="32"/>
        </w:rPr>
        <w:t>推动“增品种、提品质、创品牌”，</w:t>
      </w:r>
      <w:r>
        <w:rPr>
          <w:rFonts w:ascii="仿宋_GB2312" w:eastAsia="仿宋_GB2312" w:hint="eastAsia"/>
          <w:sz w:val="32"/>
          <w:szCs w:val="32"/>
        </w:rPr>
        <w:t>引导中医医疗器械向精细化、</w:t>
      </w:r>
      <w:r>
        <w:rPr>
          <w:rFonts w:ascii="仿宋_GB2312" w:eastAsia="仿宋_GB2312" w:hint="eastAsia"/>
          <w:kern w:val="0"/>
          <w:sz w:val="32"/>
          <w:szCs w:val="32"/>
        </w:rPr>
        <w:t>数字化和智能化方向发展。</w:t>
      </w:r>
      <w:r>
        <w:rPr>
          <w:rFonts w:ascii="仿宋_GB2312" w:eastAsia="仿宋_GB2312" w:hint="eastAsia"/>
          <w:sz w:val="32"/>
          <w:szCs w:val="32"/>
        </w:rPr>
        <w:t>对四诊仪等中医诊断设备，重点提高其中医数据采集的真实性、可靠性、准确性与精确度；对针灸、推拿、骨伤、外敷与熏蒸等中医传统治疗设备</w:t>
      </w:r>
      <w:r>
        <w:rPr>
          <w:rFonts w:ascii="仿宋_GB2312" w:eastAsia="仿宋_GB2312" w:hint="eastAsia"/>
          <w:sz w:val="32"/>
          <w:szCs w:val="32"/>
        </w:rPr>
        <w:lastRenderedPageBreak/>
        <w:t>以及综合护理设备，重点提升其临床疗效；对现有中医康复器械与老年人护理设备，重点引入柔性牵引、智能化虚拟训练、情感感知和人体运动意图识别等技术，提高产品性能与康复功效</w:t>
      </w:r>
      <w:r>
        <w:rPr>
          <w:rFonts w:ascii="仿宋_GB2312" w:eastAsia="仿宋_GB2312" w:hint="eastAsia"/>
          <w:kern w:val="0"/>
          <w:sz w:val="32"/>
          <w:szCs w:val="32"/>
        </w:rPr>
        <w:t>。</w:t>
      </w:r>
    </w:p>
    <w:p w:rsidR="00E3744D" w:rsidRDefault="00E3744D" w:rsidP="00E3744D">
      <w:pPr>
        <w:adjustRightInd w:val="0"/>
        <w:snapToGrid w:val="0"/>
        <w:spacing w:line="600" w:lineRule="exact"/>
        <w:ind w:firstLineChars="200" w:firstLine="640"/>
        <w:rPr>
          <w:rFonts w:eastAsia="黑体"/>
          <w:color w:val="000000"/>
          <w:sz w:val="32"/>
          <w:szCs w:val="32"/>
        </w:rPr>
      </w:pPr>
      <w:r>
        <w:rPr>
          <w:rFonts w:eastAsia="黑体" w:hAnsi="黑体"/>
          <w:color w:val="000000"/>
          <w:sz w:val="32"/>
          <w:szCs w:val="32"/>
        </w:rPr>
        <w:t>三、健全中医医疗器械标准体系</w:t>
      </w:r>
    </w:p>
    <w:p w:rsidR="00E3744D" w:rsidRDefault="00E3744D" w:rsidP="00E3744D">
      <w:pPr>
        <w:adjustRightInd w:val="0"/>
        <w:snapToGrid w:val="0"/>
        <w:spacing w:line="600" w:lineRule="exact"/>
        <w:ind w:firstLineChars="176" w:firstLine="565"/>
        <w:rPr>
          <w:rFonts w:ascii="仿宋_GB2312" w:eastAsia="仿宋_GB2312"/>
          <w:b/>
          <w:sz w:val="32"/>
          <w:szCs w:val="32"/>
        </w:rPr>
      </w:pPr>
      <w:r w:rsidRPr="00E3744D">
        <w:rPr>
          <w:rFonts w:ascii="楷体_GB2312" w:eastAsia="楷体_GB2312" w:hAnsi="楷体"/>
          <w:b/>
          <w:color w:val="000000"/>
          <w:sz w:val="32"/>
          <w:szCs w:val="32"/>
        </w:rPr>
        <w:t>（六）中医医疗器械的基础标准研究。</w:t>
      </w:r>
      <w:r>
        <w:rPr>
          <w:rFonts w:ascii="仿宋_GB2312" w:eastAsia="仿宋_GB2312" w:hint="eastAsia"/>
          <w:sz w:val="32"/>
          <w:szCs w:val="32"/>
        </w:rPr>
        <w:t>在现有的中医检测诊断、治疗、康复和健康状态辨识等分类基础上，开展中医医疗器械名词术语、技术要求、诊疗信息等基础标准的研究，研究中医医疗器械分类标准，为</w:t>
      </w:r>
      <w:r w:rsidR="00775AA9">
        <w:rPr>
          <w:rFonts w:ascii="仿宋_GB2312" w:eastAsia="仿宋_GB2312" w:hint="eastAsia"/>
          <w:sz w:val="32"/>
          <w:szCs w:val="32"/>
        </w:rPr>
        <w:t>规范</w:t>
      </w:r>
      <w:r>
        <w:rPr>
          <w:rFonts w:ascii="仿宋_GB2312" w:eastAsia="仿宋_GB2312" w:hint="eastAsia"/>
          <w:sz w:val="32"/>
          <w:szCs w:val="32"/>
        </w:rPr>
        <w:t>中医医疗器械</w:t>
      </w:r>
      <w:r w:rsidR="00775AA9">
        <w:rPr>
          <w:rFonts w:ascii="仿宋_GB2312" w:eastAsia="仿宋_GB2312" w:hint="eastAsia"/>
          <w:sz w:val="32"/>
          <w:szCs w:val="32"/>
        </w:rPr>
        <w:t>管理</w:t>
      </w:r>
      <w:r>
        <w:rPr>
          <w:rFonts w:ascii="仿宋_GB2312" w:eastAsia="仿宋_GB2312" w:hint="eastAsia"/>
          <w:sz w:val="32"/>
          <w:szCs w:val="32"/>
        </w:rPr>
        <w:t>提供支撑。</w:t>
      </w:r>
    </w:p>
    <w:p w:rsidR="00E3744D" w:rsidRDefault="00E3744D" w:rsidP="00E3744D">
      <w:pPr>
        <w:pStyle w:val="20"/>
        <w:adjustRightInd w:val="0"/>
        <w:snapToGrid w:val="0"/>
        <w:spacing w:line="600" w:lineRule="exact"/>
        <w:ind w:firstLineChars="176" w:firstLine="565"/>
        <w:rPr>
          <w:rFonts w:ascii="仿宋_GB2312" w:eastAsia="仿宋_GB2312" w:hAnsi="Times New Roman"/>
        </w:rPr>
      </w:pPr>
      <w:r w:rsidRPr="00E3744D">
        <w:rPr>
          <w:rFonts w:ascii="楷体_GB2312" w:eastAsia="楷体_GB2312"/>
          <w:b/>
          <w:color w:val="000000"/>
        </w:rPr>
        <w:t>（七）中医医疗器械的技术标准研究。</w:t>
      </w:r>
      <w:r>
        <w:rPr>
          <w:rFonts w:ascii="仿宋_GB2312" w:eastAsia="仿宋_GB2312" w:hAnsi="Times New Roman" w:hint="eastAsia"/>
        </w:rPr>
        <w:t>开展符合中医理论与临床应用特点的中医医疗器械临床评价方法学研究，重点针对中医检测、诊断设备采集的医疗健康数据进行标准化研究，实现数据的标准化判读，形成基于数据的临床诊断指南，开展应用、评价、监测和改进等各环节关键技术研究，形成技术规范，完善标准体系，提高技术标准质量。研究制定中医医疗器械的操作规范，提高中医医疗器械应用的规范化水平。</w:t>
      </w:r>
    </w:p>
    <w:p w:rsidR="00E3744D" w:rsidRDefault="00E3744D" w:rsidP="00E3744D">
      <w:pPr>
        <w:adjustRightInd w:val="0"/>
        <w:snapToGrid w:val="0"/>
        <w:spacing w:line="600" w:lineRule="exact"/>
        <w:ind w:firstLineChars="176" w:firstLine="565"/>
        <w:rPr>
          <w:rFonts w:ascii="仿宋_GB2312" w:eastAsia="仿宋_GB2312"/>
          <w:b/>
          <w:sz w:val="32"/>
          <w:szCs w:val="32"/>
        </w:rPr>
      </w:pPr>
      <w:r w:rsidRPr="00E3744D">
        <w:rPr>
          <w:rFonts w:ascii="楷体_GB2312" w:eastAsia="楷体_GB2312" w:hAnsi="楷体"/>
          <w:b/>
          <w:color w:val="000000"/>
          <w:sz w:val="32"/>
          <w:szCs w:val="32"/>
        </w:rPr>
        <w:t>（八）中医医疗器械的管理标准研究。</w:t>
      </w:r>
      <w:r>
        <w:rPr>
          <w:rFonts w:ascii="仿宋_GB2312" w:eastAsia="仿宋_GB2312" w:hint="eastAsia"/>
          <w:sz w:val="32"/>
          <w:szCs w:val="32"/>
        </w:rPr>
        <w:t>面向中医医疗器械创新与市场需求，</w:t>
      </w:r>
      <w:r>
        <w:rPr>
          <w:rFonts w:ascii="仿宋_GB2312" w:eastAsia="仿宋_GB2312" w:hint="eastAsia"/>
          <w:color w:val="000000"/>
          <w:sz w:val="32"/>
          <w:szCs w:val="32"/>
        </w:rPr>
        <w:t>根据</w:t>
      </w:r>
      <w:r>
        <w:rPr>
          <w:rFonts w:ascii="仿宋_GB2312" w:eastAsia="仿宋_GB2312" w:hint="eastAsia"/>
          <w:sz w:val="32"/>
          <w:szCs w:val="32"/>
        </w:rPr>
        <w:t>医疗器械监督管理法律法规有关要求，对中医医疗器械的质量安全、注册、审批、监管和操作技术等内容开展相关管理标准研究，健全中医医疗器械的标准体系。</w:t>
      </w:r>
    </w:p>
    <w:p w:rsidR="00E3744D" w:rsidRDefault="00E3744D" w:rsidP="00E3744D">
      <w:pPr>
        <w:adjustRightInd w:val="0"/>
        <w:snapToGrid w:val="0"/>
        <w:spacing w:line="600" w:lineRule="exact"/>
        <w:ind w:firstLineChars="200" w:firstLine="640"/>
        <w:rPr>
          <w:rFonts w:eastAsia="黑体"/>
          <w:color w:val="000000"/>
          <w:sz w:val="32"/>
          <w:szCs w:val="32"/>
        </w:rPr>
      </w:pPr>
      <w:r>
        <w:rPr>
          <w:rFonts w:eastAsia="黑体" w:hAnsi="黑体"/>
          <w:color w:val="000000"/>
          <w:sz w:val="32"/>
          <w:szCs w:val="32"/>
        </w:rPr>
        <w:t>四、推进中医医疗器械创新平台建设与国际化发展</w:t>
      </w:r>
    </w:p>
    <w:p w:rsidR="00E3744D" w:rsidRDefault="00E3744D" w:rsidP="00E3744D">
      <w:pPr>
        <w:adjustRightInd w:val="0"/>
        <w:snapToGrid w:val="0"/>
        <w:spacing w:line="600" w:lineRule="exact"/>
        <w:ind w:firstLineChars="200" w:firstLine="643"/>
        <w:rPr>
          <w:rFonts w:eastAsia="黑体"/>
          <w:color w:val="000000"/>
          <w:sz w:val="32"/>
          <w:szCs w:val="32"/>
        </w:rPr>
      </w:pPr>
      <w:r w:rsidRPr="00E3744D">
        <w:rPr>
          <w:rFonts w:ascii="楷体_GB2312" w:eastAsia="楷体_GB2312" w:hAnsi="楷体"/>
          <w:b/>
          <w:color w:val="000000"/>
          <w:sz w:val="32"/>
          <w:szCs w:val="32"/>
        </w:rPr>
        <w:t>（九）加快学科交叉的产学研用平台建设。</w:t>
      </w:r>
      <w:r>
        <w:rPr>
          <w:rFonts w:ascii="仿宋_GB2312" w:eastAsia="仿宋_GB2312" w:hint="eastAsia"/>
          <w:color w:val="000000"/>
          <w:sz w:val="32"/>
          <w:szCs w:val="32"/>
        </w:rPr>
        <w:t>结合中医医疗器械市场需求，鼓励产学研用单位共建联合实验室，开展符合中医</w:t>
      </w:r>
      <w:r>
        <w:rPr>
          <w:rFonts w:ascii="仿宋_GB2312" w:eastAsia="仿宋_GB2312" w:hint="eastAsia"/>
          <w:color w:val="000000"/>
          <w:sz w:val="32"/>
          <w:szCs w:val="32"/>
        </w:rPr>
        <w:lastRenderedPageBreak/>
        <w:t>理论的诊断、治疗和康复等功能的中医医疗器械研发，以企业为主体打造一批产学研用平台，加强学科交叉融合和医研企结合的创新团队建设，为中医医疗器械开发提供支持，夯实中医医疗器械研究基础，着力提升我国中医医疗器械产业创新能力。</w:t>
      </w:r>
      <w:r>
        <w:rPr>
          <w:rFonts w:ascii="仿宋_GB2312" w:eastAsia="仿宋_GB2312" w:hint="eastAsia"/>
          <w:kern w:val="0"/>
          <w:sz w:val="32"/>
          <w:szCs w:val="32"/>
        </w:rPr>
        <w:t>鼓励具有产业基础和技术优势的地区，建设中医医疗器械研发和产业化基地。</w:t>
      </w:r>
    </w:p>
    <w:p w:rsidR="00E3744D" w:rsidRDefault="00E3744D" w:rsidP="00E3744D">
      <w:pPr>
        <w:widowControl/>
        <w:shd w:val="clear" w:color="auto" w:fill="FFFFFF"/>
        <w:adjustRightInd w:val="0"/>
        <w:snapToGrid w:val="0"/>
        <w:spacing w:line="600" w:lineRule="exact"/>
        <w:ind w:right="120" w:firstLine="567"/>
        <w:rPr>
          <w:rFonts w:eastAsia="仿宋_GB2312"/>
          <w:kern w:val="0"/>
          <w:sz w:val="32"/>
          <w:szCs w:val="32"/>
        </w:rPr>
      </w:pPr>
      <w:r w:rsidRPr="00E3744D">
        <w:rPr>
          <w:rFonts w:ascii="楷体_GB2312" w:eastAsia="楷体_GB2312" w:hAnsi="楷体"/>
          <w:b/>
          <w:color w:val="000000"/>
          <w:sz w:val="32"/>
          <w:szCs w:val="32"/>
        </w:rPr>
        <w:t>（十）加强中医医疗器械的应用示范和推广。</w:t>
      </w:r>
      <w:r>
        <w:rPr>
          <w:rFonts w:ascii="仿宋_GB2312" w:eastAsia="仿宋_GB2312" w:hint="eastAsia"/>
          <w:color w:val="000000"/>
          <w:kern w:val="0"/>
          <w:sz w:val="32"/>
          <w:szCs w:val="32"/>
        </w:rPr>
        <w:t>支持企业和医疗机构加强</w:t>
      </w:r>
      <w:r>
        <w:rPr>
          <w:rFonts w:ascii="仿宋_GB2312" w:eastAsia="仿宋_GB2312" w:hint="eastAsia"/>
          <w:kern w:val="0"/>
          <w:sz w:val="32"/>
          <w:szCs w:val="32"/>
        </w:rPr>
        <w:t>协同创新</w:t>
      </w:r>
      <w:r>
        <w:rPr>
          <w:rFonts w:ascii="仿宋_GB2312" w:eastAsia="仿宋_GB2312" w:hint="eastAsia"/>
          <w:color w:val="000000"/>
          <w:kern w:val="0"/>
          <w:sz w:val="32"/>
          <w:szCs w:val="32"/>
        </w:rPr>
        <w:t>，</w:t>
      </w:r>
      <w:r>
        <w:rPr>
          <w:rFonts w:ascii="仿宋_GB2312" w:eastAsia="仿宋_GB2312" w:hint="eastAsia"/>
          <w:kern w:val="0"/>
          <w:sz w:val="32"/>
          <w:szCs w:val="32"/>
        </w:rPr>
        <w:t>通过在全国不同区域范围内建立中医医疗器械的临床应用示范中心，系统开展中医医疗器械创新产品的临床评价和示范应用研究，重点推进中医医疗器械在基层的普及与</w:t>
      </w:r>
      <w:r>
        <w:rPr>
          <w:rFonts w:ascii="仿宋_GB2312" w:eastAsia="仿宋_GB2312" w:hint="eastAsia"/>
          <w:spacing w:val="-10"/>
          <w:kern w:val="0"/>
          <w:sz w:val="32"/>
          <w:szCs w:val="32"/>
        </w:rPr>
        <w:t>应用，形成“示范应用—临床评价—技术创新—辐射推广”的良性循环。</w:t>
      </w:r>
    </w:p>
    <w:p w:rsidR="00E3744D" w:rsidRDefault="00E3744D" w:rsidP="00E3744D">
      <w:pPr>
        <w:adjustRightInd w:val="0"/>
        <w:snapToGrid w:val="0"/>
        <w:spacing w:line="600" w:lineRule="exact"/>
        <w:ind w:firstLineChars="200" w:firstLine="643"/>
        <w:rPr>
          <w:rFonts w:ascii="仿宋_GB2312" w:eastAsia="仿宋_GB2312"/>
          <w:color w:val="000000"/>
          <w:kern w:val="0"/>
          <w:sz w:val="32"/>
          <w:szCs w:val="32"/>
        </w:rPr>
      </w:pPr>
      <w:r w:rsidRPr="00E3744D">
        <w:rPr>
          <w:rFonts w:ascii="楷体_GB2312" w:eastAsia="楷体_GB2312" w:hAnsi="楷体"/>
          <w:b/>
          <w:color w:val="000000"/>
          <w:sz w:val="32"/>
          <w:szCs w:val="32"/>
        </w:rPr>
        <w:t>（十一）推进产业链融合发展。</w:t>
      </w:r>
      <w:r>
        <w:rPr>
          <w:rFonts w:ascii="仿宋_GB2312" w:eastAsia="仿宋_GB2312" w:hint="eastAsia"/>
          <w:color w:val="000000"/>
          <w:sz w:val="32"/>
          <w:szCs w:val="32"/>
        </w:rPr>
        <w:t>坚持继承与创新相结合，积极借鉴和利用现代科学技术，实现原始创新、集成创新以及引进消化吸收再创新。</w:t>
      </w:r>
      <w:r>
        <w:rPr>
          <w:rFonts w:ascii="仿宋_GB2312" w:eastAsia="仿宋_GB2312" w:hint="eastAsia"/>
          <w:color w:val="000000"/>
          <w:kern w:val="0"/>
          <w:sz w:val="32"/>
          <w:szCs w:val="32"/>
        </w:rPr>
        <w:t>加快中医医疗器械产业链发展，促进医疗器械产业转型升级，逐步推进“产业、科技、金融”跨界融合，“创新链、产业链、服务链”优化组合，使中医医疗器械领域呈现“融合式、多主体、一体化”发展态势，创新创业高度活跃，新产品、新业态不断涌现。</w:t>
      </w:r>
    </w:p>
    <w:p w:rsidR="00E3744D" w:rsidRDefault="00E3744D" w:rsidP="00E3744D">
      <w:pPr>
        <w:adjustRightInd w:val="0"/>
        <w:snapToGrid w:val="0"/>
        <w:spacing w:line="600" w:lineRule="exact"/>
        <w:ind w:firstLineChars="200" w:firstLine="643"/>
        <w:rPr>
          <w:rFonts w:ascii="仿宋_GB2312" w:eastAsia="仿宋_GB2312"/>
          <w:sz w:val="32"/>
          <w:szCs w:val="32"/>
        </w:rPr>
      </w:pPr>
      <w:r w:rsidRPr="00E3744D">
        <w:rPr>
          <w:rFonts w:ascii="楷体_GB2312" w:eastAsia="楷体_GB2312" w:hAnsi="楷体"/>
          <w:b/>
          <w:color w:val="000000"/>
          <w:sz w:val="32"/>
          <w:szCs w:val="32"/>
        </w:rPr>
        <w:t>（十二）推进中医医疗器械国际化发展。</w:t>
      </w:r>
      <w:r>
        <w:rPr>
          <w:rFonts w:ascii="仿宋_GB2312" w:eastAsia="仿宋_GB2312" w:hint="eastAsia"/>
          <w:sz w:val="32"/>
          <w:szCs w:val="32"/>
        </w:rPr>
        <w:t>加强与国际标准相关组织合作与交流，积极研制中医医疗器械国际标准，提升中医医疗器械的国际影响力与市场竞争力。根据“一带一路”国家需</w:t>
      </w:r>
      <w:r>
        <w:rPr>
          <w:rFonts w:ascii="仿宋_GB2312" w:eastAsia="仿宋_GB2312" w:hint="eastAsia"/>
          <w:sz w:val="32"/>
          <w:szCs w:val="32"/>
        </w:rPr>
        <w:lastRenderedPageBreak/>
        <w:t>求，加强中医医疗器械的国际科技合作研究，积极探索国际化合作新模式，以科技创新驱动中医医疗器械产品在“一带一路”国家的推广应用。</w:t>
      </w:r>
    </w:p>
    <w:p w:rsidR="00E3744D" w:rsidRDefault="00E3744D" w:rsidP="00E3744D">
      <w:pPr>
        <w:adjustRightInd w:val="0"/>
        <w:snapToGrid w:val="0"/>
        <w:spacing w:line="600" w:lineRule="exact"/>
        <w:ind w:firstLineChars="200" w:firstLine="640"/>
        <w:rPr>
          <w:rFonts w:eastAsia="黑体"/>
          <w:color w:val="000000"/>
          <w:sz w:val="32"/>
          <w:szCs w:val="32"/>
        </w:rPr>
      </w:pPr>
      <w:r>
        <w:rPr>
          <w:rFonts w:eastAsia="黑体" w:hAnsi="黑体"/>
          <w:color w:val="000000"/>
          <w:sz w:val="32"/>
          <w:szCs w:val="32"/>
        </w:rPr>
        <w:t>五、保障措施</w:t>
      </w:r>
    </w:p>
    <w:p w:rsidR="00E3744D" w:rsidRDefault="00E3744D" w:rsidP="00E3744D">
      <w:pPr>
        <w:adjustRightInd w:val="0"/>
        <w:snapToGrid w:val="0"/>
        <w:spacing w:line="600" w:lineRule="exact"/>
        <w:ind w:firstLineChars="200" w:firstLine="643"/>
        <w:rPr>
          <w:rFonts w:ascii="仿宋_GB2312" w:eastAsia="仿宋_GB2312"/>
          <w:color w:val="000000"/>
          <w:sz w:val="32"/>
          <w:szCs w:val="32"/>
        </w:rPr>
      </w:pPr>
      <w:r w:rsidRPr="00E3744D">
        <w:rPr>
          <w:rFonts w:ascii="楷体_GB2312" w:eastAsia="楷体_GB2312" w:hAnsi="楷体"/>
          <w:b/>
          <w:color w:val="000000"/>
          <w:sz w:val="32"/>
          <w:szCs w:val="32"/>
        </w:rPr>
        <w:t>（十三）加强沟通协调，完善相关支持政策。</w:t>
      </w:r>
      <w:r>
        <w:rPr>
          <w:rFonts w:ascii="仿宋_GB2312" w:eastAsia="仿宋_GB2312" w:hint="eastAsia"/>
          <w:color w:val="000000"/>
          <w:sz w:val="32"/>
          <w:szCs w:val="32"/>
        </w:rPr>
        <w:t>建立中医药管理部门与科技、工业和信息化、卫生健康与药品监管等相关管理部门之间的协调会商机制，研究制定能够体现中医医疗器械特色、促进中医医疗器械创新发展的政策措施，衔接有关科技计划（专项、基金等）项目支持，协调解决制约中医医疗器械科技创新的重大问题。引导中医医疗器械品牌化发展，培育一批创新型中医医疗器械生产企业。</w:t>
      </w:r>
    </w:p>
    <w:p w:rsidR="00E3744D" w:rsidRDefault="00E3744D" w:rsidP="00E3744D">
      <w:pPr>
        <w:adjustRightInd w:val="0"/>
        <w:snapToGrid w:val="0"/>
        <w:spacing w:line="600" w:lineRule="exact"/>
        <w:ind w:firstLineChars="200" w:firstLine="643"/>
        <w:rPr>
          <w:rFonts w:ascii="仿宋_GB2312" w:eastAsia="仿宋_GB2312"/>
          <w:color w:val="000000"/>
          <w:sz w:val="32"/>
          <w:szCs w:val="32"/>
        </w:rPr>
      </w:pPr>
      <w:r w:rsidRPr="00E3744D">
        <w:rPr>
          <w:rFonts w:ascii="楷体_GB2312" w:eastAsia="楷体_GB2312" w:hAnsi="楷体"/>
          <w:b/>
          <w:color w:val="000000"/>
          <w:sz w:val="32"/>
          <w:szCs w:val="32"/>
        </w:rPr>
        <w:t>（十四）鼓励企业创新，建立多元投入机制。</w:t>
      </w:r>
      <w:r>
        <w:rPr>
          <w:rFonts w:ascii="仿宋_GB2312" w:eastAsia="仿宋_GB2312" w:hint="eastAsia"/>
          <w:color w:val="000000"/>
          <w:sz w:val="32"/>
          <w:szCs w:val="32"/>
        </w:rPr>
        <w:t>各级中医药管理部门要加强对中医医疗器械科技创新的重视及支持，加大基础研究投入,鼓励各类科研力量与各类社会资本参与中医医疗器械研发，鼓励企业反哺基础研究。支持企业作为创新主体，对已完成前期研究的中医医疗器械项目开展上市前研究开发和临床评价等工作，从技术、需求和市场三个角度，加快产业链融合发展。鼓励企业与医疗机构、科研机构开展科研合作、人才培养及条件建设，实现科技资源共享。</w:t>
      </w:r>
    </w:p>
    <w:p w:rsidR="00E3744D" w:rsidRDefault="00E3744D" w:rsidP="00E3744D">
      <w:pPr>
        <w:adjustRightInd w:val="0"/>
        <w:snapToGrid w:val="0"/>
        <w:spacing w:line="600" w:lineRule="exact"/>
        <w:ind w:firstLineChars="200" w:firstLine="643"/>
        <w:rPr>
          <w:rFonts w:ascii="仿宋_GB2312" w:eastAsia="仿宋_GB2312"/>
          <w:color w:val="000000"/>
          <w:sz w:val="32"/>
          <w:szCs w:val="32"/>
        </w:rPr>
      </w:pPr>
      <w:r w:rsidRPr="00E3744D">
        <w:rPr>
          <w:rFonts w:ascii="楷体_GB2312" w:eastAsia="楷体_GB2312" w:hAnsi="楷体"/>
          <w:b/>
          <w:color w:val="000000"/>
          <w:sz w:val="32"/>
          <w:szCs w:val="32"/>
        </w:rPr>
        <w:t>（十五）加强人才培育，建设科技创新平台。</w:t>
      </w:r>
      <w:r>
        <w:rPr>
          <w:rFonts w:ascii="仿宋_GB2312" w:eastAsia="仿宋_GB2312" w:hint="eastAsia"/>
          <w:color w:val="000000"/>
          <w:sz w:val="32"/>
          <w:szCs w:val="32"/>
        </w:rPr>
        <w:t>完善中医医疗器械研发人才培养机制，鼓励企业与高校联合培养复合型专业人才；加强创新型人才队伍建设，充分发挥科研人员的创新活力，</w:t>
      </w:r>
      <w:r>
        <w:rPr>
          <w:rFonts w:ascii="仿宋_GB2312" w:eastAsia="仿宋_GB2312" w:hint="eastAsia"/>
          <w:color w:val="000000"/>
          <w:sz w:val="32"/>
          <w:szCs w:val="32"/>
        </w:rPr>
        <w:lastRenderedPageBreak/>
        <w:t>鼓励中医药科技人员创业，健全科研人才双向流动机制；支持建设一批中医医疗器械重点研究室、科技园区、研究开发中心、临床评价与推广应用示范基地，提高研发能力。</w:t>
      </w:r>
    </w:p>
    <w:p w:rsidR="0035440B" w:rsidRPr="00E3744D" w:rsidRDefault="0035440B" w:rsidP="0035440B">
      <w:pPr>
        <w:adjustRightInd w:val="0"/>
        <w:snapToGrid w:val="0"/>
        <w:spacing w:line="600" w:lineRule="exact"/>
        <w:ind w:firstLineChars="200" w:firstLine="640"/>
        <w:rPr>
          <w:rFonts w:eastAsia="仿宋_GB2312"/>
          <w:sz w:val="32"/>
          <w:szCs w:val="32"/>
        </w:rPr>
      </w:pPr>
    </w:p>
    <w:p w:rsidR="00192F1A" w:rsidRPr="0035440B" w:rsidRDefault="00192F1A" w:rsidP="0035440B">
      <w:pPr>
        <w:spacing w:line="660" w:lineRule="exact"/>
        <w:rPr>
          <w:rFonts w:ascii="仿宋_GB2312" w:eastAsia="仿宋_GB2312" w:hAnsiTheme="minorHAnsi" w:cstheme="minorBidi"/>
          <w:sz w:val="32"/>
          <w:szCs w:val="22"/>
        </w:rPr>
      </w:pPr>
    </w:p>
    <w:p w:rsidR="00192F1A" w:rsidRDefault="00192F1A" w:rsidP="00B8693F">
      <w:pPr>
        <w:tabs>
          <w:tab w:val="left" w:pos="7655"/>
        </w:tabs>
        <w:spacing w:line="620" w:lineRule="exact"/>
        <w:ind w:right="641"/>
        <w:rPr>
          <w:rFonts w:ascii="仿宋_GB2312" w:eastAsia="仿宋_GB2312" w:hAnsiTheme="minorHAnsi" w:cstheme="minorBidi"/>
          <w:sz w:val="32"/>
          <w:szCs w:val="22"/>
        </w:rPr>
      </w:pPr>
    </w:p>
    <w:p w:rsidR="00192F1A" w:rsidRDefault="00192F1A" w:rsidP="00B8693F">
      <w:pPr>
        <w:tabs>
          <w:tab w:val="left" w:pos="7655"/>
        </w:tabs>
        <w:spacing w:line="620" w:lineRule="exact"/>
        <w:ind w:right="641"/>
        <w:rPr>
          <w:rFonts w:ascii="仿宋_GB2312" w:eastAsia="仿宋_GB2312" w:hAnsiTheme="minorHAnsi" w:cstheme="minorBidi"/>
          <w:sz w:val="32"/>
          <w:szCs w:val="22"/>
        </w:rPr>
      </w:pPr>
    </w:p>
    <w:p w:rsidR="00192F1A" w:rsidRDefault="00192F1A"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9C4B9B" w:rsidRDefault="009C4B9B" w:rsidP="00B8693F">
      <w:pPr>
        <w:tabs>
          <w:tab w:val="left" w:pos="7655"/>
        </w:tabs>
        <w:spacing w:line="620" w:lineRule="exact"/>
        <w:ind w:right="641"/>
        <w:rPr>
          <w:rFonts w:ascii="仿宋_GB2312" w:eastAsia="仿宋_GB2312" w:hAnsiTheme="minorHAnsi" w:cstheme="minorBidi"/>
          <w:sz w:val="32"/>
          <w:szCs w:val="22"/>
        </w:rPr>
      </w:pPr>
    </w:p>
    <w:p w:rsidR="00B8693F" w:rsidRDefault="00B8693F" w:rsidP="00B8693F">
      <w:pPr>
        <w:tabs>
          <w:tab w:val="left" w:pos="7655"/>
        </w:tabs>
        <w:spacing w:line="620" w:lineRule="exact"/>
        <w:ind w:right="641"/>
        <w:rPr>
          <w:rFonts w:ascii="仿宋_GB2312" w:eastAsia="仿宋_GB2312" w:hAnsiTheme="minorHAnsi" w:cstheme="minorBidi"/>
          <w:sz w:val="32"/>
          <w:szCs w:val="22"/>
        </w:rPr>
      </w:pPr>
    </w:p>
    <w:p w:rsidR="00B8693F" w:rsidRPr="00B8693F" w:rsidRDefault="00B8693F" w:rsidP="00B8693F">
      <w:pPr>
        <w:tabs>
          <w:tab w:val="left" w:pos="7655"/>
        </w:tabs>
        <w:spacing w:line="620" w:lineRule="exact"/>
        <w:ind w:right="641"/>
        <w:rPr>
          <w:rFonts w:ascii="仿宋_GB2312" w:eastAsia="仿宋_GB2312" w:hAnsiTheme="minorHAnsi" w:cstheme="minorBidi"/>
          <w:sz w:val="32"/>
          <w:szCs w:val="22"/>
        </w:rPr>
      </w:pPr>
    </w:p>
    <w:p w:rsidR="00192F1A" w:rsidRDefault="00192F1A" w:rsidP="00B8693F">
      <w:pPr>
        <w:tabs>
          <w:tab w:val="left" w:pos="7655"/>
        </w:tabs>
        <w:spacing w:line="62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E3744D" w:rsidRDefault="00E3744D" w:rsidP="0035440B">
      <w:pPr>
        <w:tabs>
          <w:tab w:val="left" w:pos="7655"/>
        </w:tabs>
        <w:spacing w:line="640" w:lineRule="exact"/>
        <w:ind w:right="641"/>
        <w:rPr>
          <w:rFonts w:ascii="仿宋_GB2312" w:eastAsia="仿宋_GB2312" w:hAnsiTheme="minorHAnsi" w:cstheme="minorBidi"/>
          <w:sz w:val="32"/>
          <w:szCs w:val="22"/>
        </w:rPr>
      </w:pPr>
    </w:p>
    <w:p w:rsidR="00E3744D" w:rsidRDefault="00E3744D" w:rsidP="0035440B">
      <w:pPr>
        <w:tabs>
          <w:tab w:val="left" w:pos="7655"/>
        </w:tabs>
        <w:spacing w:line="640" w:lineRule="exact"/>
        <w:ind w:right="641"/>
        <w:rPr>
          <w:rFonts w:ascii="仿宋_GB2312" w:eastAsia="仿宋_GB2312" w:hAnsiTheme="minorHAnsi" w:cstheme="minorBidi"/>
          <w:sz w:val="32"/>
          <w:szCs w:val="22"/>
        </w:rPr>
      </w:pPr>
    </w:p>
    <w:p w:rsidR="00775AA9" w:rsidRDefault="00775AA9"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35440B" w:rsidRDefault="0035440B" w:rsidP="0035440B">
      <w:pPr>
        <w:tabs>
          <w:tab w:val="left" w:pos="7655"/>
        </w:tabs>
        <w:spacing w:line="640" w:lineRule="exact"/>
        <w:ind w:right="641"/>
        <w:rPr>
          <w:rFonts w:ascii="仿宋_GB2312" w:eastAsia="仿宋_GB2312" w:hAnsiTheme="minorHAnsi" w:cstheme="minorBidi"/>
          <w:sz w:val="32"/>
          <w:szCs w:val="22"/>
        </w:rPr>
      </w:pPr>
    </w:p>
    <w:p w:rsidR="009530D7" w:rsidRPr="00C81F1A" w:rsidRDefault="00C81F1A" w:rsidP="00192F1A">
      <w:pPr>
        <w:pBdr>
          <w:top w:val="single" w:sz="4" w:space="1" w:color="auto"/>
          <w:bottom w:val="single" w:sz="4" w:space="1" w:color="auto"/>
        </w:pBdr>
        <w:tabs>
          <w:tab w:val="left" w:pos="7513"/>
          <w:tab w:val="left" w:pos="8505"/>
          <w:tab w:val="left" w:pos="8647"/>
        </w:tabs>
        <w:spacing w:line="500" w:lineRule="exact"/>
        <w:ind w:firstLineChars="100" w:firstLine="280"/>
        <w:jc w:val="left"/>
        <w:rPr>
          <w:rFonts w:ascii="仿宋_GB2312" w:eastAsia="仿宋_GB2312"/>
          <w:sz w:val="28"/>
          <w:szCs w:val="28"/>
        </w:rPr>
      </w:pPr>
      <w:r w:rsidRPr="00450786">
        <w:rPr>
          <w:rFonts w:ascii="仿宋_GB2312" w:eastAsia="仿宋_GB2312" w:hint="eastAsia"/>
          <w:sz w:val="28"/>
          <w:szCs w:val="28"/>
        </w:rPr>
        <w:t xml:space="preserve">国家中医药管理局办公室 </w:t>
      </w:r>
      <w:r w:rsidR="005511C3">
        <w:rPr>
          <w:rFonts w:ascii="仿宋_GB2312" w:eastAsia="仿宋_GB2312" w:hint="eastAsia"/>
          <w:sz w:val="28"/>
          <w:szCs w:val="28"/>
        </w:rPr>
        <w:t xml:space="preserve">      </w:t>
      </w:r>
      <w:r w:rsidR="0035440B">
        <w:rPr>
          <w:rFonts w:ascii="仿宋_GB2312" w:eastAsia="仿宋_GB2312" w:hint="eastAsia"/>
          <w:sz w:val="28"/>
          <w:szCs w:val="28"/>
        </w:rPr>
        <w:t xml:space="preserve"> </w:t>
      </w:r>
      <w:r w:rsidR="005511C3">
        <w:rPr>
          <w:rFonts w:ascii="仿宋_GB2312" w:eastAsia="仿宋_GB2312" w:hint="eastAsia"/>
          <w:sz w:val="28"/>
          <w:szCs w:val="28"/>
        </w:rPr>
        <w:t xml:space="preserve">   </w:t>
      </w:r>
      <w:r w:rsidR="00E3744D">
        <w:rPr>
          <w:rFonts w:ascii="仿宋_GB2312" w:eastAsia="仿宋_GB2312" w:hint="eastAsia"/>
          <w:sz w:val="28"/>
          <w:szCs w:val="28"/>
        </w:rPr>
        <w:t xml:space="preserve"> </w:t>
      </w:r>
      <w:r w:rsidR="005511C3">
        <w:rPr>
          <w:rFonts w:ascii="仿宋_GB2312" w:eastAsia="仿宋_GB2312" w:hint="eastAsia"/>
          <w:sz w:val="28"/>
          <w:szCs w:val="28"/>
        </w:rPr>
        <w:t xml:space="preserve">  </w:t>
      </w:r>
      <w:r w:rsidR="00192F1A">
        <w:rPr>
          <w:rFonts w:ascii="仿宋_GB2312" w:eastAsia="仿宋_GB2312" w:hint="eastAsia"/>
          <w:sz w:val="28"/>
          <w:szCs w:val="28"/>
        </w:rPr>
        <w:t xml:space="preserve"> </w:t>
      </w:r>
      <w:r w:rsidR="00207034">
        <w:rPr>
          <w:rFonts w:ascii="仿宋_GB2312" w:eastAsia="仿宋_GB2312" w:hint="eastAsia"/>
          <w:sz w:val="28"/>
          <w:szCs w:val="28"/>
        </w:rPr>
        <w:t xml:space="preserve"> </w:t>
      </w:r>
      <w:r w:rsidRPr="00450786">
        <w:rPr>
          <w:rFonts w:ascii="仿宋_GB2312" w:eastAsia="仿宋_GB2312" w:hint="eastAsia"/>
          <w:sz w:val="28"/>
          <w:szCs w:val="28"/>
        </w:rPr>
        <w:t xml:space="preserve"> 201</w:t>
      </w:r>
      <w:r w:rsidR="0035440B">
        <w:rPr>
          <w:rFonts w:ascii="仿宋_GB2312" w:eastAsia="仿宋_GB2312" w:hint="eastAsia"/>
          <w:sz w:val="28"/>
          <w:szCs w:val="28"/>
        </w:rPr>
        <w:t>8</w:t>
      </w:r>
      <w:r w:rsidRPr="00450786">
        <w:rPr>
          <w:rFonts w:ascii="仿宋_GB2312" w:eastAsia="仿宋_GB2312" w:hint="eastAsia"/>
          <w:sz w:val="28"/>
          <w:szCs w:val="28"/>
        </w:rPr>
        <w:t>年</w:t>
      </w:r>
      <w:r w:rsidR="00E3744D">
        <w:rPr>
          <w:rFonts w:ascii="仿宋_GB2312" w:eastAsia="仿宋_GB2312" w:hint="eastAsia"/>
          <w:sz w:val="28"/>
          <w:szCs w:val="28"/>
        </w:rPr>
        <w:t>8</w:t>
      </w:r>
      <w:r w:rsidRPr="00450786">
        <w:rPr>
          <w:rFonts w:ascii="仿宋_GB2312" w:eastAsia="仿宋_GB2312" w:hint="eastAsia"/>
          <w:sz w:val="28"/>
          <w:szCs w:val="28"/>
        </w:rPr>
        <w:t>月</w:t>
      </w:r>
      <w:r w:rsidR="00E3744D">
        <w:rPr>
          <w:rFonts w:ascii="仿宋_GB2312" w:eastAsia="仿宋_GB2312" w:hint="eastAsia"/>
          <w:sz w:val="28"/>
          <w:szCs w:val="28"/>
        </w:rPr>
        <w:t>30</w:t>
      </w:r>
      <w:r w:rsidRPr="00450786">
        <w:rPr>
          <w:rFonts w:ascii="仿宋_GB2312" w:eastAsia="仿宋_GB2312" w:hint="eastAsia"/>
          <w:sz w:val="28"/>
          <w:szCs w:val="28"/>
        </w:rPr>
        <w:t>日印发</w:t>
      </w:r>
    </w:p>
    <w:sectPr w:rsidR="009530D7" w:rsidRPr="00C81F1A" w:rsidSect="00E3744D">
      <w:footerReference w:type="even" r:id="rId7"/>
      <w:footerReference w:type="default" r:id="rId8"/>
      <w:pgSz w:w="11906" w:h="16838"/>
      <w:pgMar w:top="1701" w:right="1531" w:bottom="1701" w:left="1531" w:header="851" w:footer="964"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D4A" w:rsidRDefault="00B12D4A" w:rsidP="00D26B95">
      <w:r>
        <w:separator/>
      </w:r>
    </w:p>
  </w:endnote>
  <w:endnote w:type="continuationSeparator" w:id="1">
    <w:p w:rsidR="00B12D4A" w:rsidRDefault="00B12D4A" w:rsidP="00D26B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4969C5" w:rsidRPr="009530D7">
      <w:rPr>
        <w:rFonts w:ascii="宋体" w:hAnsi="宋体"/>
        <w:sz w:val="28"/>
        <w:szCs w:val="28"/>
      </w:rPr>
      <w:fldChar w:fldCharType="begin"/>
    </w:r>
    <w:r w:rsidRPr="009530D7">
      <w:rPr>
        <w:rFonts w:ascii="宋体" w:hAnsi="宋体"/>
        <w:sz w:val="28"/>
        <w:szCs w:val="28"/>
      </w:rPr>
      <w:instrText xml:space="preserve"> PAGE   \* MERGEFORMAT </w:instrText>
    </w:r>
    <w:r w:rsidR="004969C5" w:rsidRPr="009530D7">
      <w:rPr>
        <w:rFonts w:ascii="宋体" w:hAnsi="宋体"/>
        <w:sz w:val="28"/>
        <w:szCs w:val="28"/>
      </w:rPr>
      <w:fldChar w:fldCharType="separate"/>
    </w:r>
    <w:r w:rsidR="00B24A41" w:rsidRPr="00B24A41">
      <w:rPr>
        <w:rFonts w:ascii="宋体" w:hAnsi="宋体"/>
        <w:noProof/>
        <w:sz w:val="28"/>
        <w:szCs w:val="28"/>
        <w:lang w:val="zh-CN"/>
      </w:rPr>
      <w:t>4</w:t>
    </w:r>
    <w:r w:rsidR="004969C5" w:rsidRPr="009530D7">
      <w:rPr>
        <w:rFonts w:ascii="宋体" w:hAnsi="宋体"/>
        <w:sz w:val="28"/>
        <w:szCs w:val="28"/>
      </w:rPr>
      <w:fldChar w:fldCharType="end"/>
    </w:r>
    <w:r w:rsidRPr="009530D7">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4969C5" w:rsidRPr="009530D7">
      <w:rPr>
        <w:rFonts w:ascii="宋体" w:hAnsi="宋体"/>
        <w:sz w:val="28"/>
        <w:szCs w:val="28"/>
      </w:rPr>
      <w:fldChar w:fldCharType="begin"/>
    </w:r>
    <w:r w:rsidRPr="009530D7">
      <w:rPr>
        <w:rFonts w:ascii="宋体" w:hAnsi="宋体"/>
        <w:sz w:val="28"/>
        <w:szCs w:val="28"/>
      </w:rPr>
      <w:instrText xml:space="preserve"> PAGE   \* MERGEFORMAT </w:instrText>
    </w:r>
    <w:r w:rsidR="004969C5" w:rsidRPr="009530D7">
      <w:rPr>
        <w:rFonts w:ascii="宋体" w:hAnsi="宋体"/>
        <w:sz w:val="28"/>
        <w:szCs w:val="28"/>
      </w:rPr>
      <w:fldChar w:fldCharType="separate"/>
    </w:r>
    <w:r w:rsidR="00B24A41" w:rsidRPr="00B24A41">
      <w:rPr>
        <w:rFonts w:ascii="宋体" w:hAnsi="宋体"/>
        <w:noProof/>
        <w:sz w:val="28"/>
        <w:szCs w:val="28"/>
        <w:lang w:val="zh-CN"/>
      </w:rPr>
      <w:t>5</w:t>
    </w:r>
    <w:r w:rsidR="004969C5"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D4A" w:rsidRDefault="00B12D4A" w:rsidP="00D26B95">
      <w:r>
        <w:separator/>
      </w:r>
    </w:p>
  </w:footnote>
  <w:footnote w:type="continuationSeparator" w:id="1">
    <w:p w:rsidR="00B12D4A" w:rsidRDefault="00B12D4A" w:rsidP="00D26B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987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32A2"/>
    <w:rsid w:val="0001419E"/>
    <w:rsid w:val="00021178"/>
    <w:rsid w:val="000511EC"/>
    <w:rsid w:val="000565CE"/>
    <w:rsid w:val="000727C2"/>
    <w:rsid w:val="000830B1"/>
    <w:rsid w:val="00085554"/>
    <w:rsid w:val="000A1C82"/>
    <w:rsid w:val="000B6C14"/>
    <w:rsid w:val="000D3211"/>
    <w:rsid w:val="000E11F6"/>
    <w:rsid w:val="000F108F"/>
    <w:rsid w:val="00102F79"/>
    <w:rsid w:val="00110055"/>
    <w:rsid w:val="00111C96"/>
    <w:rsid w:val="0012215A"/>
    <w:rsid w:val="001271CD"/>
    <w:rsid w:val="0013098E"/>
    <w:rsid w:val="001458AC"/>
    <w:rsid w:val="0016453E"/>
    <w:rsid w:val="00166980"/>
    <w:rsid w:val="00190FE2"/>
    <w:rsid w:val="0019196B"/>
    <w:rsid w:val="00192F1A"/>
    <w:rsid w:val="00195CFD"/>
    <w:rsid w:val="001E0BA0"/>
    <w:rsid w:val="00204C5A"/>
    <w:rsid w:val="00207034"/>
    <w:rsid w:val="00226011"/>
    <w:rsid w:val="00237BE6"/>
    <w:rsid w:val="00256244"/>
    <w:rsid w:val="002649AF"/>
    <w:rsid w:val="002A28BC"/>
    <w:rsid w:val="002A7ECE"/>
    <w:rsid w:val="002B6AF5"/>
    <w:rsid w:val="002D1129"/>
    <w:rsid w:val="002D4EEC"/>
    <w:rsid w:val="00311936"/>
    <w:rsid w:val="00320D22"/>
    <w:rsid w:val="0034688D"/>
    <w:rsid w:val="0035440B"/>
    <w:rsid w:val="00363074"/>
    <w:rsid w:val="003709B6"/>
    <w:rsid w:val="003C1EA1"/>
    <w:rsid w:val="003C5A80"/>
    <w:rsid w:val="00414C49"/>
    <w:rsid w:val="00435C3D"/>
    <w:rsid w:val="004462AB"/>
    <w:rsid w:val="00447DA8"/>
    <w:rsid w:val="0046198B"/>
    <w:rsid w:val="004648AC"/>
    <w:rsid w:val="004969C5"/>
    <w:rsid w:val="004B4EFF"/>
    <w:rsid w:val="004D068D"/>
    <w:rsid w:val="004D331F"/>
    <w:rsid w:val="004D5A57"/>
    <w:rsid w:val="004E384E"/>
    <w:rsid w:val="004E7F1E"/>
    <w:rsid w:val="004F3A6E"/>
    <w:rsid w:val="00511B05"/>
    <w:rsid w:val="005310AE"/>
    <w:rsid w:val="005511C3"/>
    <w:rsid w:val="0055473A"/>
    <w:rsid w:val="00555C8C"/>
    <w:rsid w:val="0056444B"/>
    <w:rsid w:val="005941B1"/>
    <w:rsid w:val="005B667E"/>
    <w:rsid w:val="005E1FE5"/>
    <w:rsid w:val="005E6015"/>
    <w:rsid w:val="00613B8E"/>
    <w:rsid w:val="00682863"/>
    <w:rsid w:val="0068468A"/>
    <w:rsid w:val="006938A2"/>
    <w:rsid w:val="006A4506"/>
    <w:rsid w:val="006A62BC"/>
    <w:rsid w:val="006C00ED"/>
    <w:rsid w:val="006D463D"/>
    <w:rsid w:val="006D7E1E"/>
    <w:rsid w:val="006E24E7"/>
    <w:rsid w:val="006F2D1D"/>
    <w:rsid w:val="006F7AD7"/>
    <w:rsid w:val="00703417"/>
    <w:rsid w:val="00713D96"/>
    <w:rsid w:val="007223FF"/>
    <w:rsid w:val="007331F1"/>
    <w:rsid w:val="00741503"/>
    <w:rsid w:val="007466B8"/>
    <w:rsid w:val="00753191"/>
    <w:rsid w:val="00775AA9"/>
    <w:rsid w:val="00782250"/>
    <w:rsid w:val="007B058E"/>
    <w:rsid w:val="007F0A68"/>
    <w:rsid w:val="007F1E8F"/>
    <w:rsid w:val="008342DA"/>
    <w:rsid w:val="00843F19"/>
    <w:rsid w:val="0085236D"/>
    <w:rsid w:val="00882B59"/>
    <w:rsid w:val="0088540C"/>
    <w:rsid w:val="00897CF9"/>
    <w:rsid w:val="008C354A"/>
    <w:rsid w:val="008D71F6"/>
    <w:rsid w:val="008D77B1"/>
    <w:rsid w:val="008E70F2"/>
    <w:rsid w:val="008F091C"/>
    <w:rsid w:val="008F117F"/>
    <w:rsid w:val="00903210"/>
    <w:rsid w:val="00913C77"/>
    <w:rsid w:val="00924CA7"/>
    <w:rsid w:val="00925E9A"/>
    <w:rsid w:val="00950867"/>
    <w:rsid w:val="009530D7"/>
    <w:rsid w:val="00977327"/>
    <w:rsid w:val="0098302E"/>
    <w:rsid w:val="009A275D"/>
    <w:rsid w:val="009B1304"/>
    <w:rsid w:val="009B7F9C"/>
    <w:rsid w:val="009C4B9B"/>
    <w:rsid w:val="009C6A24"/>
    <w:rsid w:val="009D1CC2"/>
    <w:rsid w:val="00A14DCF"/>
    <w:rsid w:val="00A34096"/>
    <w:rsid w:val="00A34F83"/>
    <w:rsid w:val="00A46337"/>
    <w:rsid w:val="00A547A5"/>
    <w:rsid w:val="00A934C7"/>
    <w:rsid w:val="00AC2BDD"/>
    <w:rsid w:val="00AE6A2C"/>
    <w:rsid w:val="00B12D4A"/>
    <w:rsid w:val="00B24A41"/>
    <w:rsid w:val="00B414DB"/>
    <w:rsid w:val="00B41F18"/>
    <w:rsid w:val="00B432A2"/>
    <w:rsid w:val="00B60570"/>
    <w:rsid w:val="00B8693F"/>
    <w:rsid w:val="00BD04BB"/>
    <w:rsid w:val="00BD305E"/>
    <w:rsid w:val="00BF7888"/>
    <w:rsid w:val="00C00274"/>
    <w:rsid w:val="00C15024"/>
    <w:rsid w:val="00C70D3C"/>
    <w:rsid w:val="00C81F1A"/>
    <w:rsid w:val="00C84EDA"/>
    <w:rsid w:val="00CA57FF"/>
    <w:rsid w:val="00CC016A"/>
    <w:rsid w:val="00CD0077"/>
    <w:rsid w:val="00CD0F47"/>
    <w:rsid w:val="00CD15AA"/>
    <w:rsid w:val="00CD66B5"/>
    <w:rsid w:val="00CF0FB5"/>
    <w:rsid w:val="00D146CF"/>
    <w:rsid w:val="00D26B95"/>
    <w:rsid w:val="00D30652"/>
    <w:rsid w:val="00D52344"/>
    <w:rsid w:val="00D750EE"/>
    <w:rsid w:val="00D80257"/>
    <w:rsid w:val="00D95DFC"/>
    <w:rsid w:val="00DC6034"/>
    <w:rsid w:val="00DF6048"/>
    <w:rsid w:val="00DF662F"/>
    <w:rsid w:val="00DF7F5A"/>
    <w:rsid w:val="00E1433F"/>
    <w:rsid w:val="00E22F70"/>
    <w:rsid w:val="00E24937"/>
    <w:rsid w:val="00E3744D"/>
    <w:rsid w:val="00E41B2C"/>
    <w:rsid w:val="00E448CD"/>
    <w:rsid w:val="00EA00C4"/>
    <w:rsid w:val="00EA57F7"/>
    <w:rsid w:val="00EC759D"/>
    <w:rsid w:val="00ED4F77"/>
    <w:rsid w:val="00EE1C26"/>
    <w:rsid w:val="00EF0C9A"/>
    <w:rsid w:val="00EF5847"/>
    <w:rsid w:val="00F76112"/>
    <w:rsid w:val="00F96B4F"/>
    <w:rsid w:val="00FA6A68"/>
    <w:rsid w:val="00FC1748"/>
    <w:rsid w:val="00FE0D95"/>
    <w:rsid w:val="00FE2C66"/>
    <w:rsid w:val="00FF264B"/>
    <w:rsid w:val="30C93B1B"/>
    <w:rsid w:val="38754375"/>
    <w:rsid w:val="3BF072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98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26B95"/>
    <w:pPr>
      <w:tabs>
        <w:tab w:val="center" w:pos="4153"/>
        <w:tab w:val="right" w:pos="8306"/>
      </w:tabs>
      <w:snapToGrid w:val="0"/>
      <w:jc w:val="left"/>
    </w:pPr>
    <w:rPr>
      <w:rFonts w:ascii="Calibri" w:hAnsi="Calibri"/>
      <w:sz w:val="18"/>
      <w:szCs w:val="18"/>
    </w:rPr>
  </w:style>
  <w:style w:type="paragraph" w:styleId="a4">
    <w:name w:val="header"/>
    <w:basedOn w:val="a"/>
    <w:link w:val="Char0"/>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0">
    <w:name w:val="页眉 Char"/>
    <w:basedOn w:val="a0"/>
    <w:link w:val="a4"/>
    <w:uiPriority w:val="99"/>
    <w:semiHidden/>
    <w:rsid w:val="00D26B95"/>
    <w:rPr>
      <w:sz w:val="18"/>
      <w:szCs w:val="18"/>
    </w:rPr>
  </w:style>
  <w:style w:type="character" w:customStyle="1" w:styleId="Char">
    <w:name w:val="页脚 Char"/>
    <w:basedOn w:val="a0"/>
    <w:link w:val="a3"/>
    <w:uiPriority w:val="99"/>
    <w:rsid w:val="00D26B95"/>
    <w:rPr>
      <w:sz w:val="18"/>
      <w:szCs w:val="18"/>
    </w:rPr>
  </w:style>
  <w:style w:type="paragraph" w:styleId="a5">
    <w:name w:val="Date"/>
    <w:basedOn w:val="a"/>
    <w:next w:val="a"/>
    <w:link w:val="Char1"/>
    <w:semiHidden/>
    <w:unhideWhenUsed/>
    <w:rsid w:val="009530D7"/>
    <w:pPr>
      <w:ind w:leftChars="2500" w:left="100"/>
    </w:pPr>
  </w:style>
  <w:style w:type="character" w:customStyle="1" w:styleId="Char1">
    <w:name w:val="日期 Char"/>
    <w:basedOn w:val="a0"/>
    <w:link w:val="a5"/>
    <w:semiHidden/>
    <w:rsid w:val="009530D7"/>
    <w:rPr>
      <w:kern w:val="2"/>
      <w:sz w:val="21"/>
      <w:szCs w:val="24"/>
    </w:rPr>
  </w:style>
  <w:style w:type="paragraph" w:styleId="a6">
    <w:name w:val="Balloon Text"/>
    <w:basedOn w:val="a"/>
    <w:link w:val="Char2"/>
    <w:semiHidden/>
    <w:unhideWhenUsed/>
    <w:rsid w:val="00BD305E"/>
    <w:rPr>
      <w:sz w:val="18"/>
      <w:szCs w:val="18"/>
    </w:rPr>
  </w:style>
  <w:style w:type="character" w:customStyle="1" w:styleId="Char2">
    <w:name w:val="批注框文本 Char"/>
    <w:basedOn w:val="a0"/>
    <w:link w:val="a6"/>
    <w:semiHidden/>
    <w:rsid w:val="00BD305E"/>
    <w:rPr>
      <w:kern w:val="2"/>
      <w:sz w:val="18"/>
      <w:szCs w:val="18"/>
    </w:rPr>
  </w:style>
  <w:style w:type="character" w:styleId="a7">
    <w:name w:val="Hyperlink"/>
    <w:basedOn w:val="a0"/>
    <w:uiPriority w:val="99"/>
    <w:unhideWhenUsed/>
    <w:rsid w:val="00207034"/>
    <w:rPr>
      <w:color w:val="0000FF"/>
      <w:u w:val="single"/>
    </w:rPr>
  </w:style>
  <w:style w:type="paragraph" w:customStyle="1" w:styleId="A8">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9">
    <w:name w:val="Normal (Web)"/>
    <w:basedOn w:val="a"/>
    <w:uiPriority w:val="99"/>
    <w:qFormat/>
    <w:rsid w:val="0001419E"/>
    <w:pPr>
      <w:widowControl/>
      <w:spacing w:before="100" w:beforeAutospacing="1" w:after="100" w:afterAutospacing="1"/>
      <w:jc w:val="left"/>
    </w:pPr>
    <w:rPr>
      <w:rFonts w:ascii="Simsun" w:hAnsi="Simsun" w:cs="Simsun"/>
      <w:kern w:val="0"/>
      <w:sz w:val="24"/>
    </w:rPr>
  </w:style>
  <w:style w:type="character" w:styleId="aa">
    <w:name w:val="Strong"/>
    <w:basedOn w:val="a0"/>
    <w:uiPriority w:val="22"/>
    <w:qFormat/>
    <w:rsid w:val="0001419E"/>
    <w:rPr>
      <w:b/>
      <w:bCs/>
    </w:rPr>
  </w:style>
  <w:style w:type="table" w:styleId="ab">
    <w:name w:val="Table Grid"/>
    <w:basedOn w:val="a1"/>
    <w:uiPriority w:val="59"/>
    <w:rsid w:val="0001419E"/>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basedOn w:val="a1"/>
    <w:next w:val="ab"/>
    <w:uiPriority w:val="59"/>
    <w:rsid w:val="00192F1A"/>
    <w:rPr>
      <w:rFonts w:ascii="仿宋_GB2312" w:eastAsia="仿宋_GB2312" w:hAnsi="Calibri"/>
      <w:kern w:val="2"/>
      <w:sz w:val="3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
    <w:name w:val="标题2 字符"/>
    <w:link w:val="20"/>
    <w:rsid w:val="00E3744D"/>
    <w:rPr>
      <w:rFonts w:ascii="楷体" w:eastAsia="楷体" w:hAnsi="楷体"/>
      <w:kern w:val="2"/>
      <w:sz w:val="32"/>
      <w:szCs w:val="32"/>
    </w:rPr>
  </w:style>
  <w:style w:type="paragraph" w:customStyle="1" w:styleId="20">
    <w:name w:val="标题2"/>
    <w:basedOn w:val="a"/>
    <w:link w:val="2"/>
    <w:qFormat/>
    <w:rsid w:val="00E3744D"/>
    <w:pPr>
      <w:spacing w:line="560" w:lineRule="exact"/>
      <w:ind w:firstLineChars="200" w:firstLine="640"/>
    </w:pPr>
    <w:rPr>
      <w:rFonts w:ascii="楷体" w:eastAsia="楷体" w:hAnsi="楷体"/>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3803E-A879-44D1-89E1-73F62C4EE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514</Words>
  <Characters>2936</Characters>
  <Application>Microsoft Office Word</Application>
  <DocSecurity>0</DocSecurity>
  <Lines>24</Lines>
  <Paragraphs>6</Paragraphs>
  <ScaleCrop>false</ScaleCrop>
  <Company>您的公司名</Company>
  <LinksUpToDate>false</LinksUpToDate>
  <CharactersWithSpaces>3444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王庆</cp:lastModifiedBy>
  <cp:revision>2</cp:revision>
  <cp:lastPrinted>2018-08-30T08:07:00Z</cp:lastPrinted>
  <dcterms:created xsi:type="dcterms:W3CDTF">2019-01-15T08:50:00Z</dcterms:created>
  <dcterms:modified xsi:type="dcterms:W3CDTF">2019-01-15T08:50:00Z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