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sz w:val="32"/>
          <w:szCs w:val="32"/>
        </w:rPr>
      </w:pPr>
      <w:bookmarkStart w:id="0" w:name="_GoBack"/>
      <w:r>
        <w:rPr>
          <w:rFonts w:hint="eastAsia" w:ascii="黑体" w:hAnsi="宋体" w:eastAsia="黑体"/>
          <w:sz w:val="32"/>
          <w:szCs w:val="32"/>
        </w:rPr>
        <w:t>列入2016年信用评价复评企业名单</w:t>
      </w:r>
    </w:p>
    <w:bookmarkEnd w:id="0"/>
    <w:tbl>
      <w:tblPr>
        <w:tblStyle w:val="3"/>
        <w:tblW w:w="8100" w:type="dxa"/>
        <w:jc w:val="center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dotted" w:color="auto" w:sz="4" w:space="0"/>
          <w:insideV w:val="dott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622"/>
        <w:gridCol w:w="25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序号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企  业  名  称</w:t>
            </w:r>
          </w:p>
        </w:tc>
        <w:tc>
          <w:tcPr>
            <w:tcW w:w="2536" w:type="dxa"/>
            <w:tcMar>
              <w:left w:w="6" w:type="dxa"/>
              <w:right w:w="6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2013年评价信用等级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华东医药股份有限公司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哈药集团医药有限公司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南京医药合肥天星有限公司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国药控股安徽有限公司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ascii="宋体" w:hAnsi="宋体" w:cs="宋体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贵州省医药﹙集团﹚有限责任公司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国药控股河南股份有限公司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长沙双鹤医药有限责任公司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南京医药湖北有限公司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国药控股湖南有限公司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华润西安医药有限公司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上海市医药股份有限公司安庆公司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台州上药医药有限公司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徐州医药股份有限公司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南京医药股份有限公司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dotted" w:color="auto" w:sz="4" w:space="0"/>
            <w:insideV w:val="dotted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94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4622" w:type="dxa"/>
            <w:shd w:val="clear" w:color="auto" w:fill="auto"/>
            <w:vAlign w:val="center"/>
          </w:tcPr>
          <w:p>
            <w:pPr>
              <w:rPr>
                <w:rFonts w:ascii="Calibri" w:hAnsi="Calibri"/>
                <w:szCs w:val="22"/>
              </w:rPr>
            </w:pPr>
            <w:r>
              <w:rPr>
                <w:rFonts w:hint="eastAsia" w:ascii="Calibri" w:hAnsi="Calibri"/>
                <w:szCs w:val="22"/>
              </w:rPr>
              <w:t>安徽华康医药集团有限公司</w:t>
            </w:r>
          </w:p>
        </w:tc>
        <w:tc>
          <w:tcPr>
            <w:tcW w:w="2536" w:type="dxa"/>
            <w:vAlign w:val="center"/>
          </w:tcPr>
          <w:p>
            <w:pPr>
              <w:jc w:val="center"/>
              <w:rPr>
                <w:rFonts w:ascii="Calibri" w:hAnsi="Calibri"/>
                <w:szCs w:val="22"/>
              </w:rPr>
            </w:pPr>
            <w:r>
              <w:rPr>
                <w:rFonts w:ascii="Calibri" w:hAnsi="Calibri"/>
                <w:szCs w:val="22"/>
              </w:rPr>
              <w:t>AA</w:t>
            </w:r>
          </w:p>
        </w:tc>
      </w:tr>
    </w:tbl>
    <w:p>
      <w:pPr>
        <w:spacing w:line="600" w:lineRule="exact"/>
        <w:ind w:firstLine="420" w:firstLineChars="200"/>
        <w:rPr>
          <w:rFonts w:hint="eastAsia"/>
        </w:rPr>
      </w:pPr>
      <w:r>
        <w:rPr>
          <w:rFonts w:hint="eastAsia"/>
        </w:rPr>
        <w:t>注：以上排名不分先后。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dobe 仿宋 Std R">
    <w:altName w:val="仿宋_GB2312"/>
    <w:panose1 w:val="00000000000000000000"/>
    <w:charset w:val="86"/>
    <w:family w:val="roman"/>
    <w:pitch w:val="default"/>
    <w:sig w:usb0="00000000" w:usb1="00000000" w:usb2="00000016" w:usb3="00000000" w:csb0="00060007" w:csb1="00000000"/>
  </w:font>
  <w:font w:name="黑体">
    <w:panose1 w:val="02010600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F5360"/>
    <w:rsid w:val="33BF536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2016-05-04T01:54:00Z</dcterms:created>
  <dc:creator>Administrator</dc:creator>
  <cp:lastModifiedBy>Administrator</cp:lastModifiedBy>
  <dcterms:modified xsi:type="dcterms:W3CDTF">2016-05-04T01:54:49Z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