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7"/>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49"/>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2"/>
          </w:p>
        </w:tc>
      </w:tr>
    </w:tbl>
    <w:p>
      <w:pPr>
        <w:pStyle w:val="50"/>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5"/>
        <w:framePr/>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零售药店经营银屑病药品药学服务规范</w:t>
      </w:r>
      <w:r>
        <w:t>  </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360"/>
      </w:pPr>
      <w:bookmarkStart w:id="21" w:name="BookMark1"/>
      <w:r>
        <w:rPr>
          <w:spacing w:val="320"/>
        </w:rPr>
        <w:t>目</w:t>
      </w:r>
      <w: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"_Toc147921919" </w:instrText>
      </w:r>
      <w:r>
        <w:fldChar w:fldCharType="separate"/>
      </w:r>
      <w:r>
        <w:rPr>
          <w:rStyle w:val="32"/>
        </w:rPr>
        <w:t>1  范围</w:t>
      </w:r>
      <w:r>
        <w:tab/>
      </w:r>
      <w:r>
        <w:fldChar w:fldCharType="begin"/>
      </w:r>
      <w:r>
        <w:instrText xml:space="preserve"> PAGEREF _Toc147921919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"_Toc147921920" </w:instrText>
      </w:r>
      <w:r>
        <w:fldChar w:fldCharType="separate"/>
      </w:r>
      <w:r>
        <w:rPr>
          <w:rStyle w:val="32"/>
        </w:rPr>
        <w:t>2  规范性引用文件</w:t>
      </w:r>
      <w:r>
        <w:tab/>
      </w:r>
      <w:r>
        <w:fldChar w:fldCharType="begin"/>
      </w:r>
      <w:r>
        <w:instrText xml:space="preserve"> PAGEREF _Toc147921920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"_Toc147921921" </w:instrText>
      </w:r>
      <w:r>
        <w:fldChar w:fldCharType="separate"/>
      </w:r>
      <w:r>
        <w:rPr>
          <w:rStyle w:val="32"/>
        </w:rPr>
        <w:t>3  术语和定义</w:t>
      </w:r>
      <w:r>
        <w:tab/>
      </w:r>
      <w:r>
        <w:fldChar w:fldCharType="begin"/>
      </w:r>
      <w:r>
        <w:instrText xml:space="preserve"> PAGEREF _Toc147921921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"_Toc147921922" </w:instrText>
      </w:r>
      <w:r>
        <w:fldChar w:fldCharType="separate"/>
      </w:r>
      <w:r>
        <w:rPr>
          <w:rStyle w:val="32"/>
          <w14:scene3d w14:prst="orthographicFront">
            <w14:lightRig w14:rig="threePt" w14:dir="t">
              <w14:rot w14:lat="0" w14:lon="0" w14:rev="0"/>
            </w14:lightRig>
          </w14:scene3d>
        </w:rPr>
        <w:t xml:space="preserve">3.1 </w:t>
      </w:r>
      <w:r>
        <w:rPr>
          <w:rStyle w:val="32"/>
        </w:rPr>
        <w:t xml:space="preserve"> 药学服务 pharmaceutical care</w:t>
      </w:r>
      <w:r>
        <w:tab/>
      </w:r>
      <w:r>
        <w:fldChar w:fldCharType="begin"/>
      </w:r>
      <w:r>
        <w:instrText xml:space="preserve"> PAGEREF _Toc147921922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"_Toc147921923" </w:instrText>
      </w:r>
      <w:r>
        <w:fldChar w:fldCharType="separate"/>
      </w:r>
      <w:r>
        <w:rPr>
          <w:rStyle w:val="32"/>
          <w14:scene3d w14:prst="orthographicFront">
            <w14:lightRig w14:rig="threePt" w14:dir="t">
              <w14:rot w14:lat="0" w14:lon="0" w14:rev="0"/>
            </w14:lightRig>
          </w14:scene3d>
        </w:rPr>
        <w:t xml:space="preserve">3.2 </w:t>
      </w:r>
      <w:r>
        <w:rPr>
          <w:rStyle w:val="32"/>
        </w:rPr>
        <w:t xml:space="preserve"> 药学技术人员 pharmacy professional</w:t>
      </w:r>
      <w:r>
        <w:tab/>
      </w:r>
      <w:r>
        <w:fldChar w:fldCharType="begin"/>
      </w:r>
      <w:r>
        <w:instrText xml:space="preserve"> PAGEREF _Toc147921923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"_Toc147921924" </w:instrText>
      </w:r>
      <w:r>
        <w:fldChar w:fldCharType="separate"/>
      </w:r>
      <w:r>
        <w:rPr>
          <w:rStyle w:val="32"/>
          <w14:scene3d w14:prst="orthographicFront">
            <w14:lightRig w14:rig="threePt" w14:dir="t">
              <w14:rot w14:lat="0" w14:lon="0" w14:rev="0"/>
            </w14:lightRig>
          </w14:scene3d>
        </w:rPr>
        <w:t xml:space="preserve">3.3 </w:t>
      </w:r>
      <w:r>
        <w:rPr>
          <w:rStyle w:val="32"/>
        </w:rPr>
        <w:t xml:space="preserve"> 药物治疗管理 medication therapy management， MTM</w:t>
      </w:r>
      <w:r>
        <w:tab/>
      </w:r>
      <w:r>
        <w:fldChar w:fldCharType="begin"/>
      </w:r>
      <w:r>
        <w:instrText xml:space="preserve"> PAGEREF _Toc147921924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"_Toc147921925" </w:instrText>
      </w:r>
      <w:r>
        <w:fldChar w:fldCharType="separate"/>
      </w:r>
      <w:r>
        <w:rPr>
          <w:rStyle w:val="32"/>
          <w14:scene3d w14:prst="orthographicFront">
            <w14:lightRig w14:rig="threePt" w14:dir="t">
              <w14:rot w14:lat="0" w14:lon="0" w14:rev="0"/>
            </w14:lightRig>
          </w14:scene3d>
        </w:rPr>
        <w:t xml:space="preserve">3.4 </w:t>
      </w:r>
      <w:r>
        <w:rPr>
          <w:rStyle w:val="32"/>
        </w:rPr>
        <w:t xml:space="preserve"> 药历 medication record</w:t>
      </w:r>
      <w:r>
        <w:tab/>
      </w:r>
      <w:r>
        <w:fldChar w:fldCharType="begin"/>
      </w:r>
      <w:r>
        <w:instrText xml:space="preserve"> PAGEREF _Toc147921925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"_Toc147921926" </w:instrText>
      </w:r>
      <w:r>
        <w:fldChar w:fldCharType="separate"/>
      </w:r>
      <w:r>
        <w:rPr>
          <w:rStyle w:val="32"/>
        </w:rPr>
        <w:t>4  总则</w:t>
      </w:r>
      <w:r>
        <w:tab/>
      </w:r>
      <w:r>
        <w:fldChar w:fldCharType="begin"/>
      </w:r>
      <w:r>
        <w:instrText xml:space="preserve"> PAGEREF _Toc147921926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"_Toc147921927" </w:instrText>
      </w:r>
      <w:r>
        <w:fldChar w:fldCharType="separate"/>
      </w:r>
      <w:r>
        <w:rPr>
          <w:rStyle w:val="32"/>
        </w:rPr>
        <w:t>5  用药咨询</w:t>
      </w:r>
      <w:r>
        <w:tab/>
      </w:r>
      <w:r>
        <w:fldChar w:fldCharType="begin"/>
      </w:r>
      <w:r>
        <w:instrText xml:space="preserve"> PAGEREF _Toc147921927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"_Toc147921928" </w:instrText>
      </w:r>
      <w:r>
        <w:fldChar w:fldCharType="separate"/>
      </w:r>
      <w:r>
        <w:rPr>
          <w:rStyle w:val="32"/>
          <w14:scene3d w14:prst="orthographicFront">
            <w14:lightRig w14:rig="threePt" w14:dir="t">
              <w14:rot w14:lat="0" w14:lon="0" w14:rev="0"/>
            </w14:lightRig>
          </w14:scene3d>
        </w:rPr>
        <w:t xml:space="preserve">5.1 </w:t>
      </w:r>
      <w:r>
        <w:rPr>
          <w:rStyle w:val="32"/>
        </w:rPr>
        <w:t xml:space="preserve"> 用药咨询流程</w:t>
      </w:r>
      <w:r>
        <w:tab/>
      </w:r>
      <w:r>
        <w:fldChar w:fldCharType="begin"/>
      </w:r>
      <w:r>
        <w:instrText xml:space="preserve"> PAGEREF _Toc147921928 \h </w:instrText>
      </w:r>
      <w:r>
        <w:fldChar w:fldCharType="separate"/>
      </w:r>
      <w:r>
        <w:t>1</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"_Toc147921929" </w:instrText>
      </w:r>
      <w:r>
        <w:fldChar w:fldCharType="separate"/>
      </w:r>
      <w:r>
        <w:rPr>
          <w:rStyle w:val="32"/>
          <w14:scene3d w14:prst="orthographicFront">
            <w14:lightRig w14:rig="threePt" w14:dir="t">
              <w14:rot w14:lat="0" w14:lon="0" w14:rev="0"/>
            </w14:lightRig>
          </w14:scene3d>
        </w:rPr>
        <w:t xml:space="preserve">5.2 </w:t>
      </w:r>
      <w:r>
        <w:rPr>
          <w:rStyle w:val="32"/>
        </w:rPr>
        <w:t xml:space="preserve"> 用药咨询记录</w:t>
      </w:r>
      <w:r>
        <w:tab/>
      </w:r>
      <w:r>
        <w:fldChar w:fldCharType="begin"/>
      </w:r>
      <w:r>
        <w:instrText xml:space="preserve"> PAGEREF _Toc147921929 \h </w:instrText>
      </w:r>
      <w:r>
        <w:fldChar w:fldCharType="separate"/>
      </w:r>
      <w:r>
        <w:t>2</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"_Toc147921930" </w:instrText>
      </w:r>
      <w:r>
        <w:fldChar w:fldCharType="separate"/>
      </w:r>
      <w:r>
        <w:rPr>
          <w:rStyle w:val="32"/>
          <w14:scene3d w14:prst="orthographicFront">
            <w14:lightRig w14:rig="threePt" w14:dir="t">
              <w14:rot w14:lat="0" w14:lon="0" w14:rev="0"/>
            </w14:lightRig>
          </w14:scene3d>
        </w:rPr>
        <w:t xml:space="preserve">5.3 </w:t>
      </w:r>
      <w:r>
        <w:rPr>
          <w:rStyle w:val="32"/>
        </w:rPr>
        <w:t xml:space="preserve"> 注意事项</w:t>
      </w:r>
      <w:r>
        <w:tab/>
      </w:r>
      <w:r>
        <w:fldChar w:fldCharType="begin"/>
      </w:r>
      <w:r>
        <w:instrText xml:space="preserve"> PAGEREF _Toc147921930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"_Toc147921931" </w:instrText>
      </w:r>
      <w:r>
        <w:fldChar w:fldCharType="separate"/>
      </w:r>
      <w:r>
        <w:rPr>
          <w:rStyle w:val="32"/>
        </w:rPr>
        <w:t>6  处方审核</w:t>
      </w:r>
      <w:r>
        <w:tab/>
      </w:r>
      <w:r>
        <w:fldChar w:fldCharType="begin"/>
      </w:r>
      <w:r>
        <w:instrText xml:space="preserve"> PAGEREF _Toc147921931 \h </w:instrText>
      </w:r>
      <w:r>
        <w:fldChar w:fldCharType="separate"/>
      </w:r>
      <w:r>
        <w:t>2</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"_Toc147921932" </w:instrText>
      </w:r>
      <w:r>
        <w:fldChar w:fldCharType="separate"/>
      </w:r>
      <w:r>
        <w:rPr>
          <w:rStyle w:val="32"/>
          <w14:scene3d w14:prst="orthographicFront">
            <w14:lightRig w14:rig="threePt" w14:dir="t">
              <w14:rot w14:lat="0" w14:lon="0" w14:rev="0"/>
            </w14:lightRig>
          </w14:scene3d>
        </w:rPr>
        <w:t xml:space="preserve">6.1 </w:t>
      </w:r>
      <w:r>
        <w:rPr>
          <w:rStyle w:val="32"/>
        </w:rPr>
        <w:t xml:space="preserve"> 处方审核依据</w:t>
      </w:r>
      <w:r>
        <w:tab/>
      </w:r>
      <w:r>
        <w:fldChar w:fldCharType="begin"/>
      </w:r>
      <w:r>
        <w:instrText xml:space="preserve"> PAGEREF _Toc147921932 \h </w:instrText>
      </w:r>
      <w:r>
        <w:fldChar w:fldCharType="separate"/>
      </w:r>
      <w:r>
        <w:t>2</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"_Toc147921933" </w:instrText>
      </w:r>
      <w:r>
        <w:fldChar w:fldCharType="separate"/>
      </w:r>
      <w:r>
        <w:rPr>
          <w:rStyle w:val="32"/>
          <w14:scene3d w14:prst="orthographicFront">
            <w14:lightRig w14:rig="threePt" w14:dir="t">
              <w14:rot w14:lat="0" w14:lon="0" w14:rev="0"/>
            </w14:lightRig>
          </w14:scene3d>
        </w:rPr>
        <w:t xml:space="preserve">6.2 </w:t>
      </w:r>
      <w:r>
        <w:rPr>
          <w:rStyle w:val="32"/>
        </w:rPr>
        <w:t xml:space="preserve"> 处方审核要点</w:t>
      </w:r>
      <w:r>
        <w:tab/>
      </w:r>
      <w:r>
        <w:fldChar w:fldCharType="begin"/>
      </w:r>
      <w:r>
        <w:instrText xml:space="preserve"> PAGEREF _Toc147921933 \h </w:instrText>
      </w:r>
      <w:r>
        <w:fldChar w:fldCharType="separate"/>
      </w:r>
      <w:r>
        <w:t>2</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"_Toc147921934" </w:instrText>
      </w:r>
      <w:r>
        <w:fldChar w:fldCharType="separate"/>
      </w:r>
      <w:r>
        <w:rPr>
          <w:rStyle w:val="32"/>
          <w14:scene3d w14:prst="orthographicFront">
            <w14:lightRig w14:rig="threePt" w14:dir="t">
              <w14:rot w14:lat="0" w14:lon="0" w14:rev="0"/>
            </w14:lightRig>
          </w14:scene3d>
        </w:rPr>
        <w:t xml:space="preserve">6.3 </w:t>
      </w:r>
      <w:r>
        <w:rPr>
          <w:rStyle w:val="32"/>
        </w:rPr>
        <w:t xml:space="preserve"> 注意事项</w:t>
      </w:r>
      <w:r>
        <w:tab/>
      </w:r>
      <w:r>
        <w:fldChar w:fldCharType="begin"/>
      </w:r>
      <w:r>
        <w:instrText xml:space="preserve"> PAGEREF _Toc147921934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"_Toc147921935" </w:instrText>
      </w:r>
      <w:r>
        <w:fldChar w:fldCharType="separate"/>
      </w:r>
      <w:r>
        <w:rPr>
          <w:rStyle w:val="32"/>
        </w:rPr>
        <w:t>7  收集信息建立档案</w:t>
      </w:r>
      <w:r>
        <w:tab/>
      </w:r>
      <w:r>
        <w:fldChar w:fldCharType="begin"/>
      </w:r>
      <w:r>
        <w:instrText xml:space="preserve"> PAGEREF _Toc147921935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"_Toc147921936" </w:instrText>
      </w:r>
      <w:r>
        <w:fldChar w:fldCharType="separate"/>
      </w:r>
      <w:r>
        <w:rPr>
          <w:rStyle w:val="32"/>
          <w14:scene3d w14:prst="orthographicFront">
            <w14:lightRig w14:rig="threePt" w14:dir="t">
              <w14:rot w14:lat="0" w14:lon="0" w14:rev="0"/>
            </w14:lightRig>
          </w14:scene3d>
        </w:rPr>
        <w:t xml:space="preserve">7.1 </w:t>
      </w:r>
      <w:r>
        <w:rPr>
          <w:rStyle w:val="32"/>
        </w:rPr>
        <w:t xml:space="preserve"> 信息系统</w:t>
      </w:r>
      <w:r>
        <w:tab/>
      </w:r>
      <w:r>
        <w:fldChar w:fldCharType="begin"/>
      </w:r>
      <w:r>
        <w:instrText xml:space="preserve"> PAGEREF _Toc147921936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"_Toc147921937" </w:instrText>
      </w:r>
      <w:r>
        <w:fldChar w:fldCharType="separate"/>
      </w:r>
      <w:r>
        <w:rPr>
          <w:rStyle w:val="32"/>
          <w14:scene3d w14:prst="orthographicFront">
            <w14:lightRig w14:rig="threePt" w14:dir="t">
              <w14:rot w14:lat="0" w14:lon="0" w14:rev="0"/>
            </w14:lightRig>
          </w14:scene3d>
        </w:rPr>
        <w:t xml:space="preserve">7.2 </w:t>
      </w:r>
      <w:r>
        <w:rPr>
          <w:rStyle w:val="32"/>
        </w:rPr>
        <w:t xml:space="preserve"> 建立档案</w:t>
      </w:r>
      <w:r>
        <w:tab/>
      </w:r>
      <w:r>
        <w:fldChar w:fldCharType="begin"/>
      </w:r>
      <w:r>
        <w:instrText xml:space="preserve"> PAGEREF _Toc147921937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"_Toc147921938" </w:instrText>
      </w:r>
      <w:r>
        <w:fldChar w:fldCharType="separate"/>
      </w:r>
      <w:r>
        <w:rPr>
          <w:rStyle w:val="32"/>
        </w:rPr>
        <w:t>8  用药评估与干预</w:t>
      </w:r>
      <w:r>
        <w:tab/>
      </w:r>
      <w:r>
        <w:fldChar w:fldCharType="begin"/>
      </w:r>
      <w:r>
        <w:instrText xml:space="preserve"> PAGEREF _Toc147921938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"_Toc147921939" </w:instrText>
      </w:r>
      <w:r>
        <w:fldChar w:fldCharType="separate"/>
      </w:r>
      <w:r>
        <w:rPr>
          <w:rStyle w:val="32"/>
          <w14:scene3d w14:prst="orthographicFront">
            <w14:lightRig w14:rig="threePt" w14:dir="t">
              <w14:rot w14:lat="0" w14:lon="0" w14:rev="0"/>
            </w14:lightRig>
          </w14:scene3d>
        </w:rPr>
        <w:t xml:space="preserve">8.1 </w:t>
      </w:r>
      <w:r>
        <w:rPr>
          <w:rStyle w:val="32"/>
        </w:rPr>
        <w:t xml:space="preserve"> 适宜性</w:t>
      </w:r>
      <w:r>
        <w:tab/>
      </w:r>
      <w:r>
        <w:fldChar w:fldCharType="begin"/>
      </w:r>
      <w:r>
        <w:instrText xml:space="preserve"> PAGEREF _Toc147921939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"_Toc147921940" </w:instrText>
      </w:r>
      <w:r>
        <w:fldChar w:fldCharType="separate"/>
      </w:r>
      <w:r>
        <w:rPr>
          <w:rStyle w:val="32"/>
          <w14:scene3d w14:prst="orthographicFront">
            <w14:lightRig w14:rig="threePt" w14:dir="t">
              <w14:rot w14:lat="0" w14:lon="0" w14:rev="0"/>
            </w14:lightRig>
          </w14:scene3d>
        </w:rPr>
        <w:t xml:space="preserve">8.2 </w:t>
      </w:r>
      <w:r>
        <w:rPr>
          <w:rStyle w:val="32"/>
        </w:rPr>
        <w:t xml:space="preserve"> 安全性</w:t>
      </w:r>
      <w:r>
        <w:tab/>
      </w:r>
      <w:r>
        <w:fldChar w:fldCharType="begin"/>
      </w:r>
      <w:r>
        <w:instrText xml:space="preserve"> PAGEREF _Toc147921940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"_Toc147921941" </w:instrText>
      </w:r>
      <w:r>
        <w:fldChar w:fldCharType="separate"/>
      </w:r>
      <w:r>
        <w:rPr>
          <w:rStyle w:val="32"/>
          <w14:scene3d w14:prst="orthographicFront">
            <w14:lightRig w14:rig="threePt" w14:dir="t">
              <w14:rot w14:lat="0" w14:lon="0" w14:rev="0"/>
            </w14:lightRig>
          </w14:scene3d>
        </w:rPr>
        <w:t xml:space="preserve">8.3 </w:t>
      </w:r>
      <w:r>
        <w:rPr>
          <w:rStyle w:val="32"/>
        </w:rPr>
        <w:t xml:space="preserve"> 依从性</w:t>
      </w:r>
      <w:r>
        <w:tab/>
      </w:r>
      <w:r>
        <w:fldChar w:fldCharType="begin"/>
      </w:r>
      <w:r>
        <w:instrText xml:space="preserve"> PAGEREF _Toc147921941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"_Toc147921942" </w:instrText>
      </w:r>
      <w:r>
        <w:fldChar w:fldCharType="separate"/>
      </w:r>
      <w:r>
        <w:rPr>
          <w:rStyle w:val="32"/>
        </w:rPr>
        <w:t>9  随访</w:t>
      </w:r>
      <w:r>
        <w:tab/>
      </w:r>
      <w:r>
        <w:fldChar w:fldCharType="begin"/>
      </w:r>
      <w:r>
        <w:instrText xml:space="preserve"> PAGEREF _Toc147921942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"_Toc147921943" </w:instrText>
      </w:r>
      <w:r>
        <w:fldChar w:fldCharType="separate"/>
      </w:r>
      <w:r>
        <w:rPr>
          <w:rStyle w:val="32"/>
          <w14:scene3d w14:prst="orthographicFront">
            <w14:lightRig w14:rig="threePt" w14:dir="t">
              <w14:rot w14:lat="0" w14:lon="0" w14:rev="0"/>
            </w14:lightRig>
          </w14:scene3d>
        </w:rPr>
        <w:t xml:space="preserve">9.1 </w:t>
      </w:r>
      <w:r>
        <w:rPr>
          <w:rStyle w:val="32"/>
        </w:rPr>
        <w:t xml:space="preserve"> 随访目的</w:t>
      </w:r>
      <w:r>
        <w:tab/>
      </w:r>
      <w:r>
        <w:fldChar w:fldCharType="begin"/>
      </w:r>
      <w:r>
        <w:instrText xml:space="preserve"> PAGEREF _Toc147921943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"_Toc147921944" </w:instrText>
      </w:r>
      <w:r>
        <w:fldChar w:fldCharType="separate"/>
      </w:r>
      <w:r>
        <w:rPr>
          <w:rStyle w:val="32"/>
          <w14:scene3d w14:prst="orthographicFront">
            <w14:lightRig w14:rig="threePt" w14:dir="t">
              <w14:rot w14:lat="0" w14:lon="0" w14:rev="0"/>
            </w14:lightRig>
          </w14:scene3d>
        </w:rPr>
        <w:t xml:space="preserve">9.2 </w:t>
      </w:r>
      <w:r>
        <w:rPr>
          <w:rStyle w:val="32"/>
        </w:rPr>
        <w:t xml:space="preserve"> 随访计划</w:t>
      </w:r>
      <w:r>
        <w:tab/>
      </w:r>
      <w:r>
        <w:fldChar w:fldCharType="begin"/>
      </w:r>
      <w:r>
        <w:instrText xml:space="preserve"> PAGEREF _Toc147921944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"_Toc147921945" </w:instrText>
      </w:r>
      <w:r>
        <w:fldChar w:fldCharType="separate"/>
      </w:r>
      <w:r>
        <w:rPr>
          <w:rStyle w:val="32"/>
          <w14:scene3d w14:prst="orthographicFront">
            <w14:lightRig w14:rig="threePt" w14:dir="t">
              <w14:rot w14:lat="0" w14:lon="0" w14:rev="0"/>
            </w14:lightRig>
          </w14:scene3d>
        </w:rPr>
        <w:t xml:space="preserve">9.3 </w:t>
      </w:r>
      <w:r>
        <w:rPr>
          <w:rStyle w:val="32"/>
        </w:rPr>
        <w:t xml:space="preserve"> 随访形式</w:t>
      </w:r>
      <w:r>
        <w:tab/>
      </w:r>
      <w:r>
        <w:fldChar w:fldCharType="begin"/>
      </w:r>
      <w:r>
        <w:instrText xml:space="preserve"> PAGEREF _Toc147921945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"_Toc147921946" </w:instrText>
      </w:r>
      <w:r>
        <w:fldChar w:fldCharType="separate"/>
      </w:r>
      <w:r>
        <w:rPr>
          <w:rStyle w:val="32"/>
          <w14:scene3d w14:prst="orthographicFront">
            <w14:lightRig w14:rig="threePt" w14:dir="t">
              <w14:rot w14:lat="0" w14:lon="0" w14:rev="0"/>
            </w14:lightRig>
          </w14:scene3d>
        </w:rPr>
        <w:t xml:space="preserve">9.4 </w:t>
      </w:r>
      <w:r>
        <w:rPr>
          <w:rStyle w:val="32"/>
        </w:rPr>
        <w:t xml:space="preserve"> 随访内容</w:t>
      </w:r>
      <w:r>
        <w:tab/>
      </w:r>
      <w:r>
        <w:fldChar w:fldCharType="begin"/>
      </w:r>
      <w:r>
        <w:instrText xml:space="preserve"> PAGEREF _Toc147921946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"_Toc147921947" </w:instrText>
      </w:r>
      <w:r>
        <w:fldChar w:fldCharType="separate"/>
      </w:r>
      <w:r>
        <w:rPr>
          <w:rStyle w:val="32"/>
          <w14:scene3d w14:prst="orthographicFront">
            <w14:lightRig w14:rig="threePt" w14:dir="t">
              <w14:rot w14:lat="0" w14:lon="0" w14:rev="0"/>
            </w14:lightRig>
          </w14:scene3d>
        </w:rPr>
        <w:t xml:space="preserve">9.5 </w:t>
      </w:r>
      <w:r>
        <w:rPr>
          <w:rStyle w:val="32"/>
        </w:rPr>
        <w:t xml:space="preserve"> 注意事项</w:t>
      </w:r>
      <w:r>
        <w:tab/>
      </w:r>
      <w:r>
        <w:fldChar w:fldCharType="begin"/>
      </w:r>
      <w:r>
        <w:instrText xml:space="preserve"> PAGEREF _Toc147921947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"_Toc147921948" </w:instrText>
      </w:r>
      <w:r>
        <w:fldChar w:fldCharType="separate"/>
      </w:r>
      <w:r>
        <w:rPr>
          <w:rStyle w:val="32"/>
        </w:rPr>
        <w:t>10  用药教育</w:t>
      </w:r>
      <w:r>
        <w:tab/>
      </w:r>
      <w:r>
        <w:fldChar w:fldCharType="begin"/>
      </w:r>
      <w:r>
        <w:instrText xml:space="preserve"> PAGEREF _Toc147921948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"_Toc147921949" </w:instrText>
      </w:r>
      <w:r>
        <w:fldChar w:fldCharType="separate"/>
      </w:r>
      <w:r>
        <w:rPr>
          <w:rStyle w:val="32"/>
          <w14:scene3d w14:prst="orthographicFront">
            <w14:lightRig w14:rig="threePt" w14:dir="t">
              <w14:rot w14:lat="0" w14:lon="0" w14:rev="0"/>
            </w14:lightRig>
          </w14:scene3d>
        </w:rPr>
        <w:t xml:space="preserve">10.1 </w:t>
      </w:r>
      <w:r>
        <w:rPr>
          <w:rStyle w:val="32"/>
        </w:rPr>
        <w:t xml:space="preserve"> 用药教育目的</w:t>
      </w:r>
      <w:r>
        <w:tab/>
      </w:r>
      <w:r>
        <w:fldChar w:fldCharType="begin"/>
      </w:r>
      <w:r>
        <w:instrText xml:space="preserve"> PAGEREF _Toc147921949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"_Toc147921950" </w:instrText>
      </w:r>
      <w:r>
        <w:fldChar w:fldCharType="separate"/>
      </w:r>
      <w:r>
        <w:rPr>
          <w:rStyle w:val="32"/>
          <w14:scene3d w14:prst="orthographicFront">
            <w14:lightRig w14:rig="threePt" w14:dir="t">
              <w14:rot w14:lat="0" w14:lon="0" w14:rev="0"/>
            </w14:lightRig>
          </w14:scene3d>
        </w:rPr>
        <w:t xml:space="preserve">10.2 </w:t>
      </w:r>
      <w:r>
        <w:rPr>
          <w:rStyle w:val="32"/>
        </w:rPr>
        <w:t xml:space="preserve"> 用药教育形式</w:t>
      </w:r>
      <w:r>
        <w:tab/>
      </w:r>
      <w:r>
        <w:fldChar w:fldCharType="begin"/>
      </w:r>
      <w:r>
        <w:instrText xml:space="preserve"> PAGEREF _Toc147921950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"_Toc147921951" </w:instrText>
      </w:r>
      <w:r>
        <w:fldChar w:fldCharType="separate"/>
      </w:r>
      <w:r>
        <w:rPr>
          <w:rStyle w:val="32"/>
          <w14:scene3d w14:prst="orthographicFront">
            <w14:lightRig w14:rig="threePt" w14:dir="t">
              <w14:rot w14:lat="0" w14:lon="0" w14:rev="0"/>
            </w14:lightRig>
          </w14:scene3d>
        </w:rPr>
        <w:t xml:space="preserve">10.3 </w:t>
      </w:r>
      <w:r>
        <w:rPr>
          <w:rStyle w:val="32"/>
        </w:rPr>
        <w:t xml:space="preserve"> 用药教育内容</w:t>
      </w:r>
      <w:r>
        <w:tab/>
      </w:r>
      <w:r>
        <w:fldChar w:fldCharType="begin"/>
      </w:r>
      <w:r>
        <w:instrText xml:space="preserve"> PAGEREF _Toc147921951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"_Toc147921952" </w:instrText>
      </w:r>
      <w:r>
        <w:fldChar w:fldCharType="separate"/>
      </w:r>
      <w:r>
        <w:rPr>
          <w:rStyle w:val="32"/>
        </w:rPr>
        <w:t>11  服务质控与评价改进</w:t>
      </w:r>
      <w:r>
        <w:tab/>
      </w:r>
      <w:r>
        <w:fldChar w:fldCharType="begin"/>
      </w:r>
      <w:r>
        <w:instrText xml:space="preserve"> PAGEREF _Toc147921952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"_Toc147921953" </w:instrText>
      </w:r>
      <w:r>
        <w:fldChar w:fldCharType="separate"/>
      </w:r>
      <w:r>
        <w:rPr>
          <w:rStyle w:val="32"/>
          <w14:scene3d w14:prst="orthographicFront">
            <w14:lightRig w14:rig="threePt" w14:dir="t">
              <w14:rot w14:lat="0" w14:lon="0" w14:rev="0"/>
            </w14:lightRig>
          </w14:scene3d>
        </w:rPr>
        <w:t xml:space="preserve">11.1 </w:t>
      </w:r>
      <w:r>
        <w:rPr>
          <w:rStyle w:val="32"/>
        </w:rPr>
        <w:t xml:space="preserve"> 目的</w:t>
      </w:r>
      <w:r>
        <w:tab/>
      </w:r>
      <w:r>
        <w:fldChar w:fldCharType="begin"/>
      </w:r>
      <w:r>
        <w:instrText xml:space="preserve"> PAGEREF _Toc147921953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"_Toc147921954" </w:instrText>
      </w:r>
      <w:r>
        <w:fldChar w:fldCharType="separate"/>
      </w:r>
      <w:r>
        <w:rPr>
          <w:rStyle w:val="32"/>
          <w14:scene3d w14:prst="orthographicFront">
            <w14:lightRig w14:rig="threePt" w14:dir="t">
              <w14:rot w14:lat="0" w14:lon="0" w14:rev="0"/>
            </w14:lightRig>
          </w14:scene3d>
        </w:rPr>
        <w:t xml:space="preserve">11.2 </w:t>
      </w:r>
      <w:r>
        <w:rPr>
          <w:rStyle w:val="32"/>
        </w:rPr>
        <w:t xml:space="preserve"> 风险点防控</w:t>
      </w:r>
      <w:r>
        <w:tab/>
      </w:r>
      <w:r>
        <w:fldChar w:fldCharType="begin"/>
      </w:r>
      <w:r>
        <w:instrText xml:space="preserve"> PAGEREF _Toc147921954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"_Toc147921955" </w:instrText>
      </w:r>
      <w:r>
        <w:fldChar w:fldCharType="separate"/>
      </w:r>
      <w:r>
        <w:rPr>
          <w:rStyle w:val="32"/>
          <w14:scene3d w14:prst="orthographicFront">
            <w14:lightRig w14:rig="threePt" w14:dir="t">
              <w14:rot w14:lat="0" w14:lon="0" w14:rev="0"/>
            </w14:lightRig>
          </w14:scene3d>
        </w:rPr>
        <w:t xml:space="preserve">11.3 </w:t>
      </w:r>
      <w:r>
        <w:rPr>
          <w:rStyle w:val="32"/>
        </w:rPr>
        <w:t xml:space="preserve"> 评价与改进</w:t>
      </w:r>
      <w:r>
        <w:tab/>
      </w:r>
      <w:r>
        <w:fldChar w:fldCharType="begin"/>
      </w:r>
      <w:r>
        <w:instrText xml:space="preserve"> PAGEREF _Toc147921955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"_Toc147921956" </w:instrText>
      </w:r>
      <w:r>
        <w:fldChar w:fldCharType="separate"/>
      </w:r>
      <w:r>
        <w:rPr>
          <w:rStyle w:val="32"/>
          <w14:scene3d w14:prst="orthographicFront">
            <w14:lightRig w14:rig="threePt" w14:dir="t">
              <w14:rot w14:lat="0" w14:lon="0" w14:rev="0"/>
            </w14:lightRig>
          </w14:scene3d>
        </w:rPr>
        <w:t xml:space="preserve">11.4 </w:t>
      </w:r>
      <w:r>
        <w:rPr>
          <w:rStyle w:val="32"/>
        </w:rPr>
        <w:t xml:space="preserve"> 药学服务评价指标包括但不限于以下内容</w:t>
      </w:r>
      <w:r>
        <w:tab/>
      </w:r>
      <w:r>
        <w:fldChar w:fldCharType="begin"/>
      </w:r>
      <w:r>
        <w:instrText xml:space="preserve"> PAGEREF _Toc147921956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"_Toc147921957" </w:instrText>
      </w:r>
      <w:r>
        <w:fldChar w:fldCharType="separate"/>
      </w:r>
      <w:r>
        <w:rPr>
          <w:rStyle w:val="32"/>
          <w14:scene3d w14:prst="orthographicFront">
            <w14:lightRig w14:rig="threePt" w14:dir="t">
              <w14:rot w14:lat="0" w14:lon="0" w14:rev="0"/>
            </w14:lightRig>
          </w14:scene3d>
        </w:rPr>
        <w:t xml:space="preserve">11.5 </w:t>
      </w:r>
      <w:r>
        <w:rPr>
          <w:rStyle w:val="32"/>
        </w:rPr>
        <w:t xml:space="preserve"> 循环与持续改进</w:t>
      </w:r>
      <w:r>
        <w:tab/>
      </w:r>
      <w:r>
        <w:fldChar w:fldCharType="begin"/>
      </w:r>
      <w:r>
        <w:instrText xml:space="preserve"> PAGEREF _Toc147921957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"_Toc147921958" </w:instrText>
      </w:r>
      <w:r>
        <w:fldChar w:fldCharType="separate"/>
      </w:r>
      <w:r>
        <w:rPr>
          <w:rStyle w:val="32"/>
        </w:rPr>
        <w:t>附录A（资料性）  患者用药咨询记录</w:t>
      </w:r>
      <w:r>
        <w:tab/>
      </w:r>
      <w:r>
        <w:fldChar w:fldCharType="begin"/>
      </w:r>
      <w:r>
        <w:instrText xml:space="preserve"> PAGEREF _Toc147921958 \h </w:instrText>
      </w:r>
      <w:r>
        <w:fldChar w:fldCharType="separate"/>
      </w:r>
      <w:r>
        <w:t>7</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"_Toc147921959" </w:instrText>
      </w:r>
      <w:r>
        <w:fldChar w:fldCharType="separate"/>
      </w:r>
      <w:r>
        <w:rPr>
          <w:rStyle w:val="32"/>
        </w:rPr>
        <w:t>附录B（资料性）  用药指导单</w:t>
      </w:r>
      <w:r>
        <w:tab/>
      </w:r>
      <w:r>
        <w:fldChar w:fldCharType="begin"/>
      </w:r>
      <w:r>
        <w:instrText xml:space="preserve"> PAGEREF _Toc147921959 \h </w:instrText>
      </w:r>
      <w:r>
        <w:fldChar w:fldCharType="separate"/>
      </w:r>
      <w:r>
        <w:t>8</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"_Toc147921960" </w:instrText>
      </w:r>
      <w:r>
        <w:fldChar w:fldCharType="separate"/>
      </w:r>
      <w:r>
        <w:rPr>
          <w:rStyle w:val="32"/>
        </w:rPr>
        <w:t>附录C（资料性）  不合理处方干预记录</w:t>
      </w:r>
      <w:r>
        <w:tab/>
      </w:r>
      <w:r>
        <w:fldChar w:fldCharType="begin"/>
      </w:r>
      <w:r>
        <w:instrText xml:space="preserve"> PAGEREF _Toc147921960 \h </w:instrText>
      </w:r>
      <w:r>
        <w:fldChar w:fldCharType="separate"/>
      </w:r>
      <w:r>
        <w:t>9</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"_Toc147921961" </w:instrText>
      </w:r>
      <w:r>
        <w:fldChar w:fldCharType="separate"/>
      </w:r>
      <w:r>
        <w:rPr>
          <w:rStyle w:val="32"/>
        </w:rPr>
        <w:t>附录D（资料性）  患者信息收集表</w:t>
      </w:r>
      <w:r>
        <w:tab/>
      </w:r>
      <w:r>
        <w:fldChar w:fldCharType="begin"/>
      </w:r>
      <w:r>
        <w:instrText xml:space="preserve"> PAGEREF _Toc147921961 \h </w:instrText>
      </w:r>
      <w:r>
        <w:fldChar w:fldCharType="separate"/>
      </w:r>
      <w:r>
        <w:t>10</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"_Toc147921962" </w:instrText>
      </w:r>
      <w:r>
        <w:fldChar w:fldCharType="separate"/>
      </w:r>
      <w:r>
        <w:rPr>
          <w:rStyle w:val="32"/>
        </w:rPr>
        <w:t>附录E（资料性）  药物治疗方案评估与干预记录表</w:t>
      </w:r>
      <w:r>
        <w:tab/>
      </w:r>
      <w:r>
        <w:fldChar w:fldCharType="begin"/>
      </w:r>
      <w:r>
        <w:instrText xml:space="preserve"> PAGEREF _Toc147921962 \h </w:instrText>
      </w:r>
      <w:r>
        <w:fldChar w:fldCharType="separate"/>
      </w:r>
      <w:r>
        <w:t>12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"_Toc147921963" </w:instrText>
      </w:r>
      <w:r>
        <w:fldChar w:fldCharType="separate"/>
      </w:r>
      <w:r>
        <w:rPr>
          <w:rStyle w:val="32"/>
          <w:kern w:val="21"/>
        </w:rPr>
        <w:t>附录F</w:t>
      </w:r>
      <w:r>
        <w:rPr>
          <w:rStyle w:val="32"/>
        </w:rPr>
        <w:t xml:space="preserve">（规范性）  </w:t>
      </w:r>
      <w:r>
        <w:rPr>
          <w:rStyle w:val="32"/>
          <w:kern w:val="21"/>
        </w:rPr>
        <w:t>患者随访记录表</w:t>
      </w:r>
      <w:r>
        <w:tab/>
      </w:r>
      <w:r>
        <w:fldChar w:fldCharType="begin"/>
      </w:r>
      <w:r>
        <w:instrText xml:space="preserve"> PAGEREF _Toc147921963 \h </w:instrText>
      </w:r>
      <w:r>
        <w:fldChar w:fldCharType="separate"/>
      </w:r>
      <w:r>
        <w:t>14</w:t>
      </w:r>
      <w:r>
        <w:fldChar w:fldCharType="end"/>
      </w:r>
      <w:r>
        <w:fldChar w:fldCharType="end"/>
      </w:r>
    </w:p>
    <w:p>
      <w:pPr>
        <w:pStyle w:val="91"/>
        <w:spacing w:after="36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411FB3D54C44451A9239ADB8E3965DD3"/>
        </w:placeholder>
      </w:sdtPr>
      <w:sdtContent>
        <w:p>
          <w:pPr>
            <w:pStyle w:val="177"/>
            <w:spacing w:before="240" w:beforeLines="100" w:after="528" w:afterLines="220"/>
          </w:pPr>
          <w:bookmarkStart w:id="23" w:name="NEW_STAND_NAME"/>
          <w:r>
            <w:rPr>
              <w:rFonts w:hint="eastAsia"/>
            </w:rPr>
            <w:t>零售药店经营银屑病药品药学服务规范</w:t>
          </w:r>
          <w:r>
            <w:t>  </w:t>
          </w:r>
        </w:p>
      </w:sdtContent>
    </w:sdt>
    <w:bookmarkEnd w:id="23"/>
    <w:p>
      <w:pPr>
        <w:pStyle w:val="104"/>
        <w:spacing w:before="240" w:after="240"/>
      </w:pPr>
      <w:bookmarkStart w:id="24" w:name="_Toc17233333"/>
      <w:bookmarkStart w:id="25" w:name="_Toc26648465"/>
      <w:bookmarkStart w:id="26" w:name="_Toc26986530"/>
      <w:bookmarkStart w:id="27" w:name="_Toc26718930"/>
      <w:bookmarkStart w:id="28" w:name="_Toc24884211"/>
      <w:bookmarkStart w:id="29" w:name="_Toc24884218"/>
      <w:bookmarkStart w:id="30" w:name="_Toc147914476"/>
      <w:bookmarkStart w:id="31" w:name="_Toc17233325"/>
      <w:bookmarkStart w:id="32" w:name="_Toc26986771"/>
      <w:bookmarkStart w:id="33" w:name="_Toc97192964"/>
      <w:bookmarkStart w:id="34" w:name="_Toc147921919"/>
      <w:r>
        <w:rPr>
          <w:rFonts w:hint="eastAsia"/>
        </w:rPr>
        <w:t>范围</w:t>
      </w:r>
      <w:bookmarkEnd w:id="24"/>
      <w:bookmarkEnd w:id="25"/>
      <w:bookmarkEnd w:id="26"/>
      <w:bookmarkEnd w:id="27"/>
      <w:bookmarkEnd w:id="28"/>
      <w:bookmarkEnd w:id="29"/>
      <w:bookmarkEnd w:id="30"/>
      <w:bookmarkEnd w:id="31"/>
      <w:bookmarkEnd w:id="32"/>
      <w:bookmarkEnd w:id="33"/>
      <w:bookmarkEnd w:id="34"/>
    </w:p>
    <w:p>
      <w:pPr>
        <w:pStyle w:val="56"/>
        <w:ind w:firstLine="420"/>
      </w:pPr>
      <w:bookmarkStart w:id="35" w:name="_Toc17233326"/>
      <w:bookmarkStart w:id="36" w:name="_Toc24884219"/>
      <w:bookmarkStart w:id="37" w:name="_Toc24884212"/>
      <w:bookmarkStart w:id="38" w:name="_Toc26648466"/>
      <w:bookmarkStart w:id="39" w:name="_Toc17233334"/>
      <w:r>
        <w:rPr>
          <w:rFonts w:hint="eastAsia"/>
        </w:rPr>
        <w:t>本文件适用于零售药店为银屑病患者提供用药咨询、处方审核、用药评估与干预、随访、用药教育等药学服务。</w:t>
      </w:r>
    </w:p>
    <w:p>
      <w:pPr>
        <w:pStyle w:val="104"/>
        <w:spacing w:before="240" w:after="240"/>
      </w:pPr>
      <w:bookmarkStart w:id="40" w:name="_Toc26986531"/>
      <w:bookmarkStart w:id="41" w:name="_Toc26986772"/>
      <w:bookmarkStart w:id="42" w:name="_Toc147921920"/>
      <w:bookmarkStart w:id="43" w:name="_Toc97192965"/>
      <w:bookmarkStart w:id="44" w:name="_Toc147914477"/>
      <w:bookmarkStart w:id="45" w:name="_Toc26718931"/>
      <w:r>
        <w:rPr>
          <w:rFonts w:hint="eastAsia"/>
        </w:rPr>
        <w:t>规范性引用文件</w:t>
      </w:r>
      <w:bookmarkEnd w:id="35"/>
      <w:bookmarkEnd w:id="36"/>
      <w:bookmarkEnd w:id="37"/>
      <w:bookmarkEnd w:id="38"/>
      <w:bookmarkEnd w:id="39"/>
      <w:bookmarkEnd w:id="40"/>
      <w:bookmarkEnd w:id="41"/>
      <w:bookmarkEnd w:id="42"/>
      <w:bookmarkEnd w:id="43"/>
      <w:bookmarkEnd w:id="44"/>
      <w:bookmarkEnd w:id="45"/>
    </w:p>
    <w:p>
      <w:pPr>
        <w:pStyle w:val="56"/>
        <w:ind w:firstLine="420"/>
        <w:rPr>
          <w:rFonts w:hint="eastAsia" w:hAnsi="宋体" w:cs="宋体"/>
          <w:color w:val="000000"/>
          <w:sz w:val="24"/>
          <w:lang w:bidi="ar"/>
        </w:rPr>
      </w:pPr>
      <w:sdt>
        <w:sdtPr>
          <w:rPr>
            <w:rFonts w:hint="eastAsia"/>
            <w:szCs w:val="21"/>
          </w:rPr>
          <w:id w:val="715848253"/>
          <w:placeholder>
            <w:docPart w:val="E77A67BD948444EB9565F71D4C06BFF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szCs w:val="21"/>
          </w:rPr>
        </w:sdtEndPr>
        <w:sdtContent>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sdtContent>
      </w:sdt>
      <w:r>
        <w:rPr>
          <w:rFonts w:hint="eastAsia" w:hAnsi="宋体" w:cs="宋体"/>
          <w:color w:val="000000"/>
          <w:szCs w:val="21"/>
          <w:lang w:bidi="ar"/>
        </w:rPr>
        <w:t>银屑病基层诊疗指南（2022</w:t>
      </w:r>
      <w:r>
        <w:rPr>
          <w:rFonts w:hAnsi="宋体" w:cs="宋体"/>
          <w:color w:val="000000"/>
          <w:szCs w:val="21"/>
          <w:lang w:bidi="ar"/>
        </w:rPr>
        <w:t>年）</w:t>
      </w:r>
      <w:r>
        <w:rPr>
          <w:rFonts w:hint="eastAsia" w:hAnsi="宋体" w:cs="宋体"/>
          <w:color w:val="000000"/>
          <w:szCs w:val="21"/>
          <w:lang w:bidi="ar"/>
        </w:rPr>
        <w:t>；</w:t>
      </w:r>
      <w:r>
        <w:rPr>
          <w:rFonts w:hint="eastAsia" w:hAnsi="宋体" w:cs="宋体"/>
          <w:szCs w:val="21"/>
          <w:lang w:bidi="ar"/>
        </w:rPr>
        <w:t>中国银屑病患者饮食管理指南（2023）</w:t>
      </w:r>
    </w:p>
    <w:p>
      <w:pPr>
        <w:pStyle w:val="104"/>
        <w:spacing w:before="240" w:after="240"/>
      </w:pPr>
      <w:bookmarkStart w:id="46" w:name="_Toc147914478"/>
      <w:bookmarkStart w:id="47" w:name="_Toc97192966"/>
      <w:bookmarkStart w:id="48" w:name="_Toc147921921"/>
      <w:r>
        <w:rPr>
          <w:rFonts w:hint="eastAsia"/>
          <w:szCs w:val="21"/>
        </w:rPr>
        <w:t>术语和定义</w:t>
      </w:r>
      <w:bookmarkEnd w:id="46"/>
      <w:bookmarkEnd w:id="47"/>
      <w:bookmarkEnd w:id="48"/>
    </w:p>
    <w:sdt>
      <w:sdtPr>
        <w:id w:val="-1909835108"/>
        <w:placeholder>
          <w:docPart w:val="02F4B5191BD14DA5A5A26E899B69074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9" w:name="_Toc26986532"/>
          <w:bookmarkEnd w:id="49"/>
          <w:r>
            <w:t>下列术语和定义适用于本文件。</w:t>
          </w:r>
        </w:p>
      </w:sdtContent>
    </w:sdt>
    <w:p>
      <w:pPr>
        <w:pStyle w:val="105"/>
        <w:spacing w:before="120" w:after="120"/>
        <w:rPr>
          <w:rFonts w:hint="eastAsia"/>
        </w:rPr>
      </w:pPr>
      <w:bookmarkStart w:id="50" w:name="_Toc147914479"/>
      <w:bookmarkStart w:id="51" w:name="_Toc147921922"/>
      <w:r>
        <w:rPr>
          <w:rFonts w:hint="eastAsia"/>
        </w:rPr>
        <w:t>药学服务 pharmaceutical care</w:t>
      </w:r>
      <w:bookmarkEnd w:id="50"/>
      <w:bookmarkEnd w:id="51"/>
      <w:r>
        <w:rPr>
          <w:rFonts w:hint="eastAsia"/>
        </w:rPr>
        <w:t xml:space="preserve"> </w:t>
      </w:r>
    </w:p>
    <w:p>
      <w:pPr>
        <w:pStyle w:val="56"/>
        <w:ind w:firstLine="420"/>
        <w:rPr>
          <w:rFonts w:hint="eastAsia"/>
        </w:rPr>
      </w:pPr>
      <w:r>
        <w:rPr>
          <w:rFonts w:hint="eastAsia"/>
        </w:rPr>
        <w:t>零售药店为患者提供的专业服务。主要包括：为患者提供安全、有效、经济、适宜的药物，提供与药物使用相关的信息，保证用药安全、合理，提升患者生活质量。</w:t>
      </w:r>
    </w:p>
    <w:p>
      <w:pPr>
        <w:pStyle w:val="105"/>
        <w:spacing w:before="120" w:after="120"/>
        <w:rPr>
          <w:rFonts w:hint="eastAsia"/>
        </w:rPr>
      </w:pPr>
      <w:bookmarkStart w:id="52" w:name="_Toc147914480"/>
      <w:bookmarkStart w:id="53" w:name="_Toc147921923"/>
      <w:r>
        <w:rPr>
          <w:rFonts w:hint="eastAsia"/>
        </w:rPr>
        <w:t>药学技术人员 pharmacy professional</w:t>
      </w:r>
      <w:bookmarkEnd w:id="52"/>
      <w:bookmarkEnd w:id="53"/>
      <w:r>
        <w:rPr>
          <w:rFonts w:hint="eastAsia"/>
        </w:rPr>
        <w:t xml:space="preserve"> </w:t>
      </w:r>
    </w:p>
    <w:p>
      <w:pPr>
        <w:pStyle w:val="56"/>
        <w:ind w:firstLine="420"/>
        <w:rPr>
          <w:rFonts w:hint="eastAsia"/>
        </w:rPr>
      </w:pPr>
      <w:r>
        <w:rPr>
          <w:rFonts w:hint="eastAsia"/>
        </w:rPr>
        <w:t xml:space="preserve">具有药学专业知识和技能，从事药学服务的专业人员。包括执业药师、药师及其他从事药学服务的人员。 </w:t>
      </w:r>
    </w:p>
    <w:p>
      <w:pPr>
        <w:pStyle w:val="105"/>
        <w:spacing w:before="120" w:after="120"/>
        <w:rPr>
          <w:rFonts w:hint="eastAsia"/>
        </w:rPr>
      </w:pPr>
      <w:bookmarkStart w:id="54" w:name="_Toc147921924"/>
      <w:bookmarkStart w:id="55" w:name="_Toc147914481"/>
      <w:r>
        <w:rPr>
          <w:rFonts w:hint="eastAsia"/>
        </w:rPr>
        <w:t>药物治疗管理 medication therapy management， MTM</w:t>
      </w:r>
      <w:bookmarkEnd w:id="54"/>
      <w:bookmarkEnd w:id="55"/>
      <w:r>
        <w:rPr>
          <w:rFonts w:hint="eastAsia"/>
        </w:rPr>
        <w:t xml:space="preserve"> </w:t>
      </w:r>
    </w:p>
    <w:p>
      <w:pPr>
        <w:pStyle w:val="56"/>
        <w:ind w:firstLine="420"/>
        <w:rPr>
          <w:rFonts w:hint="eastAsia"/>
        </w:rPr>
      </w:pPr>
      <w:r>
        <w:rPr>
          <w:rFonts w:hint="eastAsia"/>
        </w:rPr>
        <w:t xml:space="preserve">执业药师和药师以患者为中心，开展对患者用药全过程进行管理的专业活动。其内容包括采集患者所有与治疗相关的信息，确定、解决或预防药物治疗的相关问题；与患者共同制定药物治疗方案，监测和评估患者药物治疗的结果（包含适宜性、安全性、有效性与依从性）；随访并记录管理过程；对患者进行用药与健康教育，促进合理用药。 </w:t>
      </w:r>
    </w:p>
    <w:p>
      <w:pPr>
        <w:pStyle w:val="105"/>
        <w:spacing w:before="120" w:after="120"/>
        <w:rPr>
          <w:rFonts w:hint="eastAsia"/>
        </w:rPr>
      </w:pPr>
      <w:bookmarkStart w:id="56" w:name="_Toc147914482"/>
      <w:bookmarkStart w:id="57" w:name="_Toc147921925"/>
      <w:r>
        <w:rPr>
          <w:rFonts w:hint="eastAsia"/>
        </w:rPr>
        <w:t>药历 medication record</w:t>
      </w:r>
      <w:bookmarkEnd w:id="56"/>
      <w:bookmarkEnd w:id="57"/>
      <w:r>
        <w:rPr>
          <w:rFonts w:hint="eastAsia"/>
        </w:rPr>
        <w:t xml:space="preserve"> </w:t>
      </w:r>
    </w:p>
    <w:p>
      <w:pPr>
        <w:pStyle w:val="56"/>
        <w:ind w:firstLine="420"/>
      </w:pPr>
      <w:r>
        <w:rPr>
          <w:rFonts w:hint="eastAsia"/>
        </w:rPr>
        <w:t>在药学服务过程中，以合理用药为目的，药学技术人员记录患者临床资料和用药状况，以及药物治疗过程的医疗文书。基本内容应当包括患者基本情况、治疗药物及效果评价、干预计划、干预效果随访、用药指导和健康教育等，是为患者进行个体化药物治疗的重要依据，也是开展药学服务质量评价的必备资料。</w:t>
      </w:r>
    </w:p>
    <w:p>
      <w:pPr>
        <w:pStyle w:val="104"/>
        <w:spacing w:before="240" w:after="240"/>
        <w:rPr>
          <w:rFonts w:hint="eastAsia"/>
        </w:rPr>
      </w:pPr>
      <w:bookmarkStart w:id="58" w:name="_Toc147914483"/>
      <w:bookmarkStart w:id="59" w:name="_Toc147921926"/>
      <w:r>
        <w:rPr>
          <w:rFonts w:hint="eastAsia"/>
        </w:rPr>
        <w:t>总则</w:t>
      </w:r>
      <w:bookmarkEnd w:id="58"/>
      <w:bookmarkEnd w:id="59"/>
      <w:r>
        <w:rPr>
          <w:rFonts w:hint="eastAsia"/>
        </w:rPr>
        <w:t xml:space="preserve"> </w:t>
      </w:r>
    </w:p>
    <w:p>
      <w:pPr>
        <w:pStyle w:val="56"/>
        <w:ind w:firstLine="420"/>
        <w:rPr>
          <w:rFonts w:hint="eastAsia"/>
        </w:rPr>
      </w:pPr>
      <w:r>
        <w:rPr>
          <w:rFonts w:hint="eastAsia"/>
        </w:rPr>
        <w:t xml:space="preserve">规范零售药店经营银屑病治疗药品的药学服务行为,保障银屑病患者在获得合格药品的同时，接受专业的药学服务，帮助银屑病患者解决治疗过程中出现的或潜在的用药问题，指导患者正确使用药物，提升患者自我管理能力与生活质量。 </w:t>
      </w:r>
    </w:p>
    <w:p>
      <w:pPr>
        <w:pStyle w:val="104"/>
        <w:spacing w:before="240" w:after="240"/>
        <w:rPr>
          <w:rFonts w:hint="eastAsia"/>
        </w:rPr>
      </w:pPr>
      <w:bookmarkStart w:id="60" w:name="_Toc147921927"/>
      <w:bookmarkStart w:id="61" w:name="_Toc147914484"/>
      <w:r>
        <w:rPr>
          <w:rFonts w:hint="eastAsia"/>
        </w:rPr>
        <w:t>用药咨询</w:t>
      </w:r>
      <w:bookmarkEnd w:id="60"/>
      <w:bookmarkEnd w:id="61"/>
      <w:r>
        <w:rPr>
          <w:rFonts w:hint="eastAsia"/>
        </w:rPr>
        <w:t xml:space="preserve"> </w:t>
      </w:r>
    </w:p>
    <w:p>
      <w:pPr>
        <w:pStyle w:val="105"/>
        <w:spacing w:before="120" w:after="120"/>
        <w:rPr>
          <w:rFonts w:hint="eastAsia"/>
        </w:rPr>
      </w:pPr>
      <w:bookmarkStart w:id="62" w:name="_Toc147921928"/>
      <w:bookmarkStart w:id="63" w:name="_Toc147914485"/>
      <w:r>
        <w:rPr>
          <w:rFonts w:hint="eastAsia"/>
        </w:rPr>
        <w:t>用药咨询流程</w:t>
      </w:r>
      <w:bookmarkEnd w:id="62"/>
      <w:bookmarkEnd w:id="63"/>
      <w:r>
        <w:rPr>
          <w:rFonts w:hint="eastAsia"/>
        </w:rPr>
        <w:t xml:space="preserve"> </w:t>
      </w:r>
    </w:p>
    <w:p>
      <w:pPr>
        <w:pStyle w:val="165"/>
        <w:rPr>
          <w:rFonts w:hint="eastAsia"/>
        </w:rPr>
      </w:pPr>
      <w:r>
        <w:rPr>
          <w:rFonts w:hint="eastAsia"/>
        </w:rPr>
        <w:t xml:space="preserve">药学技术人员应当为银屑病患者或有需求的公众提供用药咨询服务，在与咨询者的交流中，倾听咨询者的服务需求，针对咨询者用药问题，提供药学建议和个性化的合理用药指导。 </w:t>
      </w:r>
    </w:p>
    <w:p>
      <w:pPr>
        <w:pStyle w:val="165"/>
        <w:rPr>
          <w:rFonts w:hint="eastAsia"/>
        </w:rPr>
      </w:pPr>
      <w:r>
        <w:rPr>
          <w:rFonts w:hint="eastAsia"/>
        </w:rPr>
        <w:t xml:space="preserve">用药咨询流程包括接待咨询者、倾听对方需求、了解患者相关情况、解答疑问、记录咨询服务内容。 </w:t>
      </w:r>
    </w:p>
    <w:p>
      <w:pPr>
        <w:pStyle w:val="165"/>
        <w:rPr>
          <w:rFonts w:hint="eastAsia"/>
        </w:rPr>
      </w:pPr>
      <w:r>
        <w:rPr>
          <w:rFonts w:hint="eastAsia"/>
        </w:rPr>
        <w:t>用药咨询包括但不限于以下内容：药品名称、数量、用药适应证；用药剂量：首次剂量和维持剂量，首次购药患者应解释剂量如何折算、量取等；用药方法：日服次数或间隔时间、疗程，特别是药品说明书上有特殊使用要求的，应当特别交待或演示，同时在药品上标注；预期药品产生药效的时间及药效维持的时间；忘服或漏服药品的处理办法；药品常见的不良反应，如何避免及应对方法；提示不能同时使用的其他药品或饮食。</w:t>
      </w:r>
    </w:p>
    <w:p>
      <w:pPr>
        <w:pStyle w:val="165"/>
        <w:rPr>
          <w:rFonts w:hint="eastAsia"/>
        </w:rPr>
      </w:pPr>
      <w:r>
        <w:rPr>
          <w:rFonts w:hint="eastAsia"/>
        </w:rPr>
        <w:t>指导患者使用药品时，应做到：了解患者对银屑病疾病学和药品知识的掌握程度，必要时再次辅导患者正确使用药品；确认患者是否已经了解指导建议；提醒患者应该注意的事项。</w:t>
      </w:r>
    </w:p>
    <w:p>
      <w:pPr>
        <w:pStyle w:val="105"/>
        <w:spacing w:before="120" w:after="120"/>
        <w:rPr>
          <w:rFonts w:hint="eastAsia"/>
        </w:rPr>
      </w:pPr>
      <w:bookmarkStart w:id="64" w:name="_Toc147914486"/>
      <w:bookmarkStart w:id="65" w:name="_Toc147921929"/>
      <w:r>
        <w:rPr>
          <w:rFonts w:hint="eastAsia"/>
        </w:rPr>
        <w:t>用药咨询记录</w:t>
      </w:r>
      <w:bookmarkEnd w:id="64"/>
      <w:bookmarkEnd w:id="65"/>
      <w:r>
        <w:rPr>
          <w:rFonts w:hint="eastAsia"/>
        </w:rPr>
        <w:t xml:space="preserve"> </w:t>
      </w:r>
    </w:p>
    <w:p>
      <w:pPr>
        <w:pStyle w:val="56"/>
        <w:ind w:firstLine="420"/>
        <w:rPr>
          <w:rFonts w:hint="eastAsia"/>
        </w:rPr>
      </w:pPr>
      <w:r>
        <w:rPr>
          <w:rFonts w:hint="eastAsia"/>
        </w:rPr>
        <w:t>用药咨询内容应详细记录。记录内容包括咨询者姓名、咨询时间、咨询问题、咨询问题分类、回复内容、回复依据、药师签名等。</w:t>
      </w:r>
    </w:p>
    <w:p>
      <w:pPr>
        <w:pStyle w:val="56"/>
        <w:ind w:firstLine="420"/>
        <w:rPr>
          <w:rFonts w:hint="eastAsia"/>
        </w:rPr>
      </w:pPr>
      <w:r>
        <w:rPr>
          <w:rFonts w:hint="eastAsia"/>
        </w:rPr>
        <w:t xml:space="preserve">应根据用药咨询开展情况，建立用药咨询常见问题标准解答手册或数据库，提升用药咨询标准化水平。 </w:t>
      </w:r>
    </w:p>
    <w:p>
      <w:pPr>
        <w:pStyle w:val="56"/>
        <w:ind w:firstLine="420"/>
        <w:rPr>
          <w:rFonts w:hint="eastAsia"/>
        </w:rPr>
      </w:pPr>
      <w:r>
        <w:rPr>
          <w:rFonts w:hint="eastAsia"/>
        </w:rPr>
        <w:t>用药咨询记录模版见《表A</w:t>
      </w:r>
      <w:r>
        <w:t>.1</w:t>
      </w:r>
      <w:r>
        <w:rPr>
          <w:rFonts w:hint="eastAsia"/>
        </w:rPr>
        <w:t>患者用药咨询记录》。</w:t>
      </w:r>
    </w:p>
    <w:p>
      <w:pPr>
        <w:pStyle w:val="105"/>
        <w:spacing w:before="120" w:after="120"/>
        <w:rPr>
          <w:rFonts w:hint="eastAsia"/>
        </w:rPr>
      </w:pPr>
      <w:bookmarkStart w:id="66" w:name="_Toc147921930"/>
      <w:bookmarkStart w:id="67" w:name="_Toc147914487"/>
      <w:r>
        <w:rPr>
          <w:rFonts w:hint="eastAsia"/>
        </w:rPr>
        <w:t>注意事项</w:t>
      </w:r>
      <w:bookmarkEnd w:id="66"/>
      <w:bookmarkEnd w:id="67"/>
      <w:r>
        <w:rPr>
          <w:rFonts w:hint="eastAsia"/>
        </w:rPr>
        <w:t xml:space="preserve"> </w:t>
      </w:r>
    </w:p>
    <w:p>
      <w:pPr>
        <w:pStyle w:val="165"/>
        <w:rPr>
          <w:rFonts w:hint="eastAsia"/>
        </w:rPr>
      </w:pPr>
      <w:r>
        <w:rPr>
          <w:rFonts w:hint="eastAsia"/>
        </w:rPr>
        <w:t xml:space="preserve">接待咨询时遵守礼仪规范，掌握沟通技巧，使用通俗易懂语言，尊重咨询者感受，保护隐私。 </w:t>
      </w:r>
    </w:p>
    <w:p>
      <w:pPr>
        <w:pStyle w:val="165"/>
        <w:rPr>
          <w:rFonts w:hint="eastAsia"/>
        </w:rPr>
      </w:pPr>
      <w:r>
        <w:rPr>
          <w:rFonts w:hint="eastAsia"/>
        </w:rPr>
        <w:t xml:space="preserve">了解患者日常用药情况，判断患者既往用药的正确性。 </w:t>
      </w:r>
    </w:p>
    <w:p>
      <w:pPr>
        <w:pStyle w:val="165"/>
        <w:rPr>
          <w:rFonts w:hint="eastAsia"/>
        </w:rPr>
      </w:pPr>
      <w:r>
        <w:rPr>
          <w:rFonts w:hint="eastAsia"/>
        </w:rPr>
        <w:t>对首次使用该药品的、随访中发现用药依从性差的的患者，提供用药指导单。</w:t>
      </w:r>
    </w:p>
    <w:p>
      <w:pPr>
        <w:pStyle w:val="165"/>
        <w:rPr>
          <w:rFonts w:hint="eastAsia"/>
        </w:rPr>
      </w:pPr>
      <w:r>
        <w:rPr>
          <w:rFonts w:hint="eastAsia"/>
        </w:rPr>
        <w:t>用药指导单内容应通俗易懂，突出重点。包括：患者姓名、性别、药品名称、药品规格、用法用量、用药注意、药师咨询电话、零售药店名称地址、服务日期等；也可个性化制定。用药指导单模版见《表B</w:t>
      </w:r>
      <w:r>
        <w:t>.1</w:t>
      </w:r>
      <w:r>
        <w:rPr>
          <w:rFonts w:hint="eastAsia"/>
        </w:rPr>
        <w:t>用药指导单》。</w:t>
      </w:r>
    </w:p>
    <w:p>
      <w:pPr>
        <w:pStyle w:val="56"/>
        <w:ind w:firstLine="420"/>
      </w:pPr>
    </w:p>
    <w:p>
      <w:pPr>
        <w:pStyle w:val="104"/>
        <w:spacing w:before="240" w:after="240"/>
        <w:rPr>
          <w:rFonts w:hint="eastAsia"/>
        </w:rPr>
      </w:pPr>
      <w:bookmarkStart w:id="68" w:name="_Toc147914488"/>
      <w:bookmarkStart w:id="69" w:name="_Toc147921931"/>
      <w:r>
        <w:rPr>
          <w:rFonts w:hint="eastAsia"/>
        </w:rPr>
        <w:t>处方审核</w:t>
      </w:r>
      <w:bookmarkEnd w:id="68"/>
      <w:bookmarkEnd w:id="69"/>
      <w:r>
        <w:rPr>
          <w:rFonts w:hint="eastAsia"/>
        </w:rPr>
        <w:t xml:space="preserve"> </w:t>
      </w:r>
    </w:p>
    <w:p>
      <w:pPr>
        <w:pStyle w:val="105"/>
        <w:spacing w:before="120" w:after="120"/>
        <w:rPr>
          <w:rFonts w:hint="eastAsia"/>
        </w:rPr>
      </w:pPr>
      <w:bookmarkStart w:id="70" w:name="_Toc147914489"/>
      <w:bookmarkStart w:id="71" w:name="_Toc147921932"/>
      <w:r>
        <w:rPr>
          <w:rFonts w:hint="eastAsia"/>
        </w:rPr>
        <w:t>处方审核依据</w:t>
      </w:r>
      <w:bookmarkEnd w:id="70"/>
      <w:bookmarkEnd w:id="71"/>
      <w:r>
        <w:rPr>
          <w:rFonts w:hint="eastAsia"/>
        </w:rPr>
        <w:t xml:space="preserve"> </w:t>
      </w:r>
    </w:p>
    <w:p>
      <w:pPr>
        <w:pStyle w:val="56"/>
        <w:ind w:firstLine="420"/>
        <w:rPr>
          <w:rFonts w:hint="eastAsia"/>
        </w:rPr>
      </w:pPr>
      <w:r>
        <w:rPr>
          <w:rFonts w:hint="eastAsia"/>
        </w:rPr>
        <w:t xml:space="preserve">执业药师负责银屑病治疗药物处方的审核。应根据相关法律法规、规章制度与技术标准等，审核处方的合法性、规范性和适宜性。 </w:t>
      </w:r>
    </w:p>
    <w:p>
      <w:pPr>
        <w:pStyle w:val="56"/>
        <w:ind w:firstLine="420"/>
        <w:rPr>
          <w:rFonts w:hint="eastAsia"/>
        </w:rPr>
      </w:pPr>
      <w:r>
        <w:rPr>
          <w:rFonts w:hint="eastAsia"/>
        </w:rPr>
        <w:t xml:space="preserve">处方审核依据为药品说明书、国家药品管理法律法规和规范性文件、国家处方集、国家卫生主管部门发布的临床诊疗规范和指南、临床路径等。 </w:t>
      </w:r>
    </w:p>
    <w:p>
      <w:pPr>
        <w:pStyle w:val="105"/>
        <w:spacing w:before="120" w:after="120"/>
        <w:rPr>
          <w:rFonts w:hint="eastAsia"/>
        </w:rPr>
      </w:pPr>
      <w:bookmarkStart w:id="72" w:name="_Toc147921933"/>
      <w:bookmarkStart w:id="73" w:name="_Toc147914490"/>
      <w:r>
        <w:rPr>
          <w:rFonts w:hint="eastAsia"/>
        </w:rPr>
        <w:t>处方审核要点</w:t>
      </w:r>
      <w:bookmarkEnd w:id="72"/>
      <w:bookmarkEnd w:id="73"/>
      <w:r>
        <w:rPr>
          <w:rFonts w:hint="eastAsia"/>
        </w:rPr>
        <w:t xml:space="preserve"> </w:t>
      </w:r>
    </w:p>
    <w:p>
      <w:pPr>
        <w:pStyle w:val="165"/>
        <w:rPr>
          <w:rFonts w:hint="eastAsia"/>
        </w:rPr>
      </w:pPr>
      <w:r>
        <w:rPr>
          <w:rFonts w:hint="eastAsia"/>
        </w:rPr>
        <w:t>审核银屑病治疗药物处方时，执业药师应根据患者的诊断及其治疗方案进行审核，同时应询问患者正在服用的其他药品，及检测情况、器官功能及实验室指标、是否为特殊人群等。判断是否存在药物禁忌、药物相互作用、剂量、使用方法等不适宜情况。</w:t>
      </w:r>
    </w:p>
    <w:p>
      <w:pPr>
        <w:pStyle w:val="56"/>
        <w:ind w:firstLine="420"/>
        <w:rPr>
          <w:rFonts w:hint="eastAsia"/>
        </w:rPr>
      </w:pPr>
      <w:r>
        <w:rPr>
          <w:rFonts w:hint="eastAsia"/>
        </w:rPr>
        <w:t>特殊人群包括：妊娠期与哺乳期患者、儿童、结核病患者、HBV感染者、恶性肿瘤患者、老年患者。</w:t>
      </w:r>
    </w:p>
    <w:p>
      <w:pPr>
        <w:pStyle w:val="165"/>
        <w:rPr>
          <w:rFonts w:hint="eastAsia"/>
        </w:rPr>
      </w:pPr>
      <w:r>
        <w:rPr>
          <w:rFonts w:hint="eastAsia"/>
        </w:rPr>
        <w:t>审核超说明书用药处方时，执业药师应依照临床指南、专家共识、规范等，确认证据支持后方可通过审核。同时应与患者或家属充分沟通，并在超说明书用药记录上签字确认知情。记录存档备查。</w:t>
      </w:r>
    </w:p>
    <w:p>
      <w:pPr>
        <w:pStyle w:val="165"/>
        <w:rPr>
          <w:rFonts w:hint="eastAsia"/>
        </w:rPr>
      </w:pPr>
      <w:r>
        <w:rPr>
          <w:rFonts w:hint="eastAsia"/>
        </w:rPr>
        <w:t>对有明确作用靶点的药物，须遵循靶点检测后方可使用的原则。如审核阿达木单抗、司库奇尤单抗、依奇珠单抗、乌司奴单抗等处方时，治疗前需筛查血常规、肝功能、C反应蛋白、抗核抗体、肿瘤指标、妊娠试验以及感染相关指标如各种肝炎病毒标志物、HIV抗体、结核筛查。</w:t>
      </w:r>
    </w:p>
    <w:p>
      <w:pPr>
        <w:pStyle w:val="165"/>
        <w:rPr>
          <w:rFonts w:hint="eastAsia"/>
        </w:rPr>
      </w:pPr>
      <w:r>
        <w:rPr>
          <w:rFonts w:hint="eastAsia"/>
        </w:rPr>
        <w:t xml:space="preserve">首次用药应监测药物过敏反应、妊娠试验、潜在或活动性结核、肝炎病毒复制情况和血常规、肝功能等实验室指标，治疗开始后需定期注意监测恶性肿瘤相关指标。 </w:t>
      </w:r>
    </w:p>
    <w:p>
      <w:pPr>
        <w:pStyle w:val="165"/>
        <w:rPr>
          <w:rFonts w:hint="eastAsia"/>
        </w:rPr>
      </w:pPr>
      <w:r>
        <w:rPr>
          <w:rFonts w:hint="eastAsia"/>
        </w:rPr>
        <w:t xml:space="preserve">处方审核全过程应可追溯。 </w:t>
      </w:r>
    </w:p>
    <w:p>
      <w:pPr>
        <w:pStyle w:val="105"/>
        <w:spacing w:before="120" w:after="120"/>
        <w:rPr>
          <w:rFonts w:hint="eastAsia"/>
        </w:rPr>
      </w:pPr>
      <w:bookmarkStart w:id="74" w:name="_Toc147921934"/>
      <w:bookmarkStart w:id="75" w:name="_Toc147914491"/>
      <w:r>
        <w:rPr>
          <w:rFonts w:hint="eastAsia"/>
        </w:rPr>
        <w:t>注意事项</w:t>
      </w:r>
      <w:bookmarkEnd w:id="74"/>
      <w:bookmarkEnd w:id="75"/>
      <w:r>
        <w:rPr>
          <w:rFonts w:hint="eastAsia"/>
        </w:rPr>
        <w:t xml:space="preserve"> </w:t>
      </w:r>
    </w:p>
    <w:p>
      <w:pPr>
        <w:pStyle w:val="165"/>
        <w:rPr>
          <w:rFonts w:hint="eastAsia"/>
        </w:rPr>
      </w:pPr>
      <w:r>
        <w:rPr>
          <w:rFonts w:hint="eastAsia"/>
        </w:rPr>
        <w:t xml:space="preserve">不合理处方应当由执业药师或患者联系处方医生，经处方医生确认签字或重新开具处方后再次进入处方审核流程。严重不合理用药或用药错误处方，应当拒绝审核通过。 </w:t>
      </w:r>
    </w:p>
    <w:p>
      <w:pPr>
        <w:pStyle w:val="165"/>
        <w:rPr>
          <w:rFonts w:hint="eastAsia"/>
        </w:rPr>
      </w:pPr>
      <w:r>
        <w:rPr>
          <w:rFonts w:hint="eastAsia"/>
        </w:rPr>
        <w:t xml:space="preserve">对于处方审核过程中发现的问题，执业药师应及时采取措施进行处置，并做好记录。记录内容至少包括日期、患者姓名、问题描述、干预措施、审核人等。 </w:t>
      </w:r>
    </w:p>
    <w:p>
      <w:pPr>
        <w:pStyle w:val="165"/>
        <w:rPr>
          <w:rFonts w:hint="eastAsia"/>
        </w:rPr>
      </w:pPr>
      <w:r>
        <w:rPr>
          <w:rFonts w:hint="eastAsia"/>
        </w:rPr>
        <w:t>逐步实现处方审核信息化。不合理处方干预记录模版见《表C.</w:t>
      </w:r>
      <w:r>
        <w:t>1</w:t>
      </w:r>
      <w:r>
        <w:rPr>
          <w:rFonts w:hint="eastAsia"/>
        </w:rPr>
        <w:t>不合理处方干预记录》</w:t>
      </w:r>
    </w:p>
    <w:p>
      <w:pPr>
        <w:pStyle w:val="56"/>
        <w:ind w:firstLine="420"/>
      </w:pPr>
    </w:p>
    <w:p>
      <w:pPr>
        <w:pStyle w:val="104"/>
        <w:spacing w:before="240" w:after="240"/>
        <w:rPr>
          <w:rFonts w:hint="eastAsia"/>
        </w:rPr>
      </w:pPr>
      <w:bookmarkStart w:id="76" w:name="_Toc147914492"/>
      <w:bookmarkStart w:id="77" w:name="_Toc147921935"/>
      <w:r>
        <w:rPr>
          <w:rFonts w:hint="eastAsia"/>
        </w:rPr>
        <w:t>收集信息建立档案</w:t>
      </w:r>
      <w:bookmarkEnd w:id="76"/>
      <w:bookmarkEnd w:id="77"/>
    </w:p>
    <w:p>
      <w:pPr>
        <w:pStyle w:val="105"/>
        <w:spacing w:before="120" w:after="120"/>
      </w:pPr>
      <w:bookmarkStart w:id="78" w:name="_Toc147914493"/>
      <w:bookmarkStart w:id="79" w:name="_Toc147921936"/>
      <w:r>
        <w:rPr>
          <w:rFonts w:hint="eastAsia"/>
        </w:rPr>
        <w:t>信息系统</w:t>
      </w:r>
      <w:bookmarkEnd w:id="78"/>
      <w:bookmarkEnd w:id="79"/>
    </w:p>
    <w:p>
      <w:pPr>
        <w:pStyle w:val="56"/>
        <w:ind w:firstLine="420"/>
        <w:rPr>
          <w:rFonts w:hint="eastAsia"/>
        </w:rPr>
      </w:pPr>
      <w:r>
        <w:rPr>
          <w:rFonts w:hint="eastAsia"/>
        </w:rPr>
        <w:t>建立具有药品信息管理功能和患者管理的药学服务信息系统。</w:t>
      </w:r>
    </w:p>
    <w:p>
      <w:pPr>
        <w:pStyle w:val="105"/>
        <w:spacing w:before="120" w:after="120"/>
      </w:pPr>
      <w:bookmarkStart w:id="80" w:name="_Toc147921937"/>
      <w:bookmarkStart w:id="81" w:name="_Toc147914494"/>
      <w:r>
        <w:rPr>
          <w:rFonts w:hint="eastAsia"/>
        </w:rPr>
        <w:t>建立档案</w:t>
      </w:r>
      <w:bookmarkEnd w:id="80"/>
      <w:bookmarkEnd w:id="81"/>
    </w:p>
    <w:p>
      <w:pPr>
        <w:pStyle w:val="56"/>
        <w:ind w:firstLine="420"/>
        <w:rPr>
          <w:rFonts w:hint="eastAsia"/>
        </w:rPr>
      </w:pPr>
      <w:r>
        <w:rPr>
          <w:rFonts w:hint="eastAsia"/>
        </w:rPr>
        <w:t>对首次购药的银屑病患者，应收集患者基本信息、疾病信息、银屑病临床表现和分型、治疗信息，记录患者关切的问题和特殊需求，建立患者药历档案。对非首次购药或咨询患者，应复核患者档案信息，补充新的内容。</w:t>
      </w:r>
    </w:p>
    <w:p>
      <w:pPr>
        <w:pStyle w:val="165"/>
        <w:rPr>
          <w:rFonts w:hint="eastAsia"/>
        </w:rPr>
      </w:pPr>
      <w:r>
        <w:rPr>
          <w:rFonts w:hint="eastAsia"/>
        </w:rPr>
        <w:t xml:space="preserve">患者基本信息包括患者姓名、年龄、性别、联系方式、职业、参保情况、烟酒史、既往史、过敏史、家族史、生活习惯（饮食、运动、嗜好）、身体基础指标（身高、体重、体重指数、体表面积、血压、心率）等。 </w:t>
      </w:r>
    </w:p>
    <w:p>
      <w:pPr>
        <w:pStyle w:val="165"/>
        <w:rPr>
          <w:rFonts w:hint="eastAsia"/>
        </w:rPr>
      </w:pPr>
      <w:r>
        <w:rPr>
          <w:rFonts w:hint="eastAsia"/>
        </w:rPr>
        <w:t xml:space="preserve">患者疾病信息包括患者疾病诊断、诊断时间、银屑病分型、银屑病共病，银屑病严重程度分级等。 </w:t>
      </w:r>
    </w:p>
    <w:p>
      <w:pPr>
        <w:pStyle w:val="165"/>
        <w:rPr>
          <w:rFonts w:hint="eastAsia"/>
        </w:rPr>
      </w:pPr>
      <w:r>
        <w:rPr>
          <w:rFonts w:hint="eastAsia"/>
        </w:rPr>
        <w:t xml:space="preserve">患者治疗情况包括外用药物治疗、紫外线治疗（光疗）、系统药物治疗、生物制剂、中医中药治疗，当前银屑病药物治疗方案中的药品名称、用法用量、用药起止时间等，同时使用的其他药物、保健品、营养补充剂等信息。 </w:t>
      </w:r>
    </w:p>
    <w:p>
      <w:pPr>
        <w:pStyle w:val="56"/>
        <w:ind w:firstLine="420"/>
        <w:rPr>
          <w:rFonts w:hint="eastAsia"/>
        </w:rPr>
      </w:pPr>
      <w:r>
        <w:rPr>
          <w:rFonts w:hint="eastAsia"/>
        </w:rPr>
        <w:t xml:space="preserve">为患者提供的每一次处方审核、用药咨询、用药评估及干预、随访等服务均应进行记录，长期、连续、完整的药学服务过程记录组成患者的药历/健康档案。 </w:t>
      </w:r>
    </w:p>
    <w:p>
      <w:pPr>
        <w:pStyle w:val="56"/>
        <w:ind w:firstLine="420"/>
        <w:rPr>
          <w:rFonts w:hint="eastAsia"/>
        </w:rPr>
      </w:pPr>
      <w:r>
        <w:rPr>
          <w:rFonts w:hint="eastAsia"/>
        </w:rPr>
        <w:t xml:space="preserve">保护患者隐私安全。加强服务过程中患者数据的收集、存储、使用、传输、提供等环节的安全管理，不得非法获取、使用或泄露患者信息，确保患者信息安全。 </w:t>
      </w:r>
    </w:p>
    <w:p>
      <w:pPr>
        <w:pStyle w:val="56"/>
        <w:ind w:firstLine="420"/>
        <w:rPr>
          <w:rFonts w:hint="eastAsia"/>
        </w:rPr>
      </w:pPr>
      <w:r>
        <w:rPr>
          <w:rFonts w:hint="eastAsia"/>
        </w:rPr>
        <w:t>患者信息收集表模版见《表D.1患者信息收集表》。</w:t>
      </w:r>
    </w:p>
    <w:p>
      <w:pPr>
        <w:pStyle w:val="104"/>
        <w:spacing w:before="240" w:after="240"/>
        <w:rPr>
          <w:rFonts w:hint="eastAsia"/>
        </w:rPr>
      </w:pPr>
      <w:bookmarkStart w:id="82" w:name="_Toc147914495"/>
      <w:bookmarkStart w:id="83" w:name="_Toc147921938"/>
      <w:r>
        <w:rPr>
          <w:rFonts w:hint="eastAsia"/>
        </w:rPr>
        <w:t>用药评估与干预</w:t>
      </w:r>
      <w:bookmarkEnd w:id="82"/>
      <w:bookmarkEnd w:id="83"/>
    </w:p>
    <w:p>
      <w:pPr>
        <w:pStyle w:val="56"/>
        <w:ind w:firstLine="420"/>
        <w:rPr>
          <w:rFonts w:hint="eastAsia"/>
        </w:rPr>
      </w:pPr>
      <w:r>
        <w:rPr>
          <w:rFonts w:hint="eastAsia"/>
        </w:rPr>
        <w:t xml:space="preserve">对患者的用药情况进行评估，评估患者用药的适宜性、安全性及依从性。 </w:t>
      </w:r>
    </w:p>
    <w:p>
      <w:pPr>
        <w:pStyle w:val="105"/>
        <w:spacing w:before="120" w:after="120"/>
      </w:pPr>
      <w:bookmarkStart w:id="84" w:name="_Toc147921939"/>
      <w:bookmarkStart w:id="85" w:name="_Toc147914496"/>
      <w:r>
        <w:rPr>
          <w:rFonts w:hint="eastAsia"/>
        </w:rPr>
        <w:t>适宜性</w:t>
      </w:r>
      <w:bookmarkEnd w:id="84"/>
      <w:bookmarkEnd w:id="85"/>
    </w:p>
    <w:p>
      <w:pPr>
        <w:pStyle w:val="56"/>
        <w:ind w:firstLine="420"/>
        <w:rPr>
          <w:rFonts w:hint="eastAsia"/>
        </w:rPr>
      </w:pPr>
      <w:r>
        <w:rPr>
          <w:rFonts w:hint="eastAsia"/>
        </w:rPr>
        <w:t xml:space="preserve">评估患者是否为适应证内用药，药品使用的方法与剂量是否正确，是否存在药物相互作用情况，可协助患者整理用药清单。 </w:t>
      </w:r>
    </w:p>
    <w:p>
      <w:pPr>
        <w:pStyle w:val="105"/>
        <w:spacing w:before="120" w:after="120"/>
      </w:pPr>
      <w:bookmarkStart w:id="86" w:name="_Toc147921940"/>
      <w:bookmarkStart w:id="87" w:name="_Toc147914497"/>
      <w:r>
        <w:rPr>
          <w:rFonts w:hint="eastAsia"/>
        </w:rPr>
        <w:t>安全性</w:t>
      </w:r>
      <w:bookmarkEnd w:id="86"/>
      <w:bookmarkEnd w:id="87"/>
    </w:p>
    <w:p>
      <w:pPr>
        <w:pStyle w:val="56"/>
        <w:ind w:firstLine="420"/>
        <w:rPr>
          <w:rFonts w:hint="eastAsia"/>
        </w:rPr>
      </w:pPr>
      <w:r>
        <w:rPr>
          <w:rFonts w:hint="eastAsia"/>
        </w:rPr>
        <w:t xml:space="preserve">监测患者是否出现不良反应，不同的药物治疗方案和用药剂量等因素都会影响不良反应的表现。如长期外用糖皮质激素的不良反应包括皮肤萎缩、毛细血管扩张、萎缩纹、紫癜、多毛等，故建议其与非激素类外用药物联合、序贯或交替使用。不建议大面积外用糖皮质激素，因为大面积用药导致经皮吸收的药量增加，易引起系统不良反应，并且停药后会引起疾病“反跳”；生物制剂常见的不良反应是感染、过敏反应等。进行生物制剂治疗之前要对患者的健康状况进行充分评估，治疗前需筛查血常规、肝功能、C反应蛋白、抗核抗体、肿瘤指标、妊娠试验以及感染相关指标如各种肝炎病毒标志物、HIV 抗体、结核筛。还应关注患者是否出现罕见、新的不良反应。对患者发生的药物不良反应进行分级评估，提出处理建议，患者出现较严重或持续性的不良反应时，建议立即就诊。 </w:t>
      </w:r>
    </w:p>
    <w:p>
      <w:pPr>
        <w:pStyle w:val="105"/>
        <w:spacing w:before="120" w:after="120"/>
      </w:pPr>
      <w:bookmarkStart w:id="88" w:name="_Toc147914498"/>
      <w:bookmarkStart w:id="89" w:name="_Toc147921941"/>
      <w:r>
        <w:rPr>
          <w:rFonts w:hint="eastAsia"/>
        </w:rPr>
        <w:t>依从性</w:t>
      </w:r>
      <w:bookmarkEnd w:id="88"/>
      <w:bookmarkEnd w:id="89"/>
    </w:p>
    <w:p>
      <w:pPr>
        <w:pStyle w:val="56"/>
        <w:ind w:firstLine="420"/>
        <w:rPr>
          <w:rFonts w:hint="eastAsia"/>
        </w:rPr>
      </w:pPr>
      <w:r>
        <w:rPr>
          <w:rFonts w:hint="eastAsia"/>
        </w:rPr>
        <w:t xml:space="preserve">了解患者使用药物情况，根据患者当前剩余药量，判断患者是否持续、按时、足量用药，提示患者遵医嘱用药。 </w:t>
      </w:r>
    </w:p>
    <w:p>
      <w:pPr>
        <w:pStyle w:val="56"/>
        <w:ind w:firstLine="420"/>
        <w:rPr>
          <w:rFonts w:hint="eastAsia"/>
        </w:rPr>
      </w:pPr>
      <w:r>
        <w:rPr>
          <w:rFonts w:hint="eastAsia"/>
        </w:rPr>
        <w:t xml:space="preserve">在用药评估中发现患者存在药物治疗相关问题时，应有针对性的制定干预计划，并帮助患者实施计划。干预计划内容应包括药物使用建议、疾病指标监测与生活方式指导等内容。 </w:t>
      </w:r>
    </w:p>
    <w:p>
      <w:pPr>
        <w:pStyle w:val="56"/>
        <w:ind w:firstLine="420"/>
        <w:rPr>
          <w:rFonts w:hint="eastAsia"/>
        </w:rPr>
      </w:pPr>
      <w:r>
        <w:rPr>
          <w:rFonts w:hint="eastAsia"/>
        </w:rPr>
        <w:t>药物治疗方案评估与干预记录表模版见《表E.1药物治疗方案评估与干预记录表》。</w:t>
      </w:r>
    </w:p>
    <w:p>
      <w:pPr>
        <w:pStyle w:val="104"/>
        <w:spacing w:before="240" w:after="240"/>
        <w:rPr>
          <w:rFonts w:hint="eastAsia"/>
        </w:rPr>
      </w:pPr>
      <w:bookmarkStart w:id="90" w:name="_Toc147921942"/>
      <w:bookmarkStart w:id="91" w:name="_Toc147914499"/>
      <w:r>
        <w:rPr>
          <w:rFonts w:hint="eastAsia"/>
        </w:rPr>
        <w:t>随访</w:t>
      </w:r>
      <w:bookmarkEnd w:id="90"/>
      <w:bookmarkEnd w:id="91"/>
      <w:r>
        <w:rPr>
          <w:rFonts w:hint="eastAsia"/>
        </w:rPr>
        <w:t xml:space="preserve"> </w:t>
      </w:r>
    </w:p>
    <w:p>
      <w:pPr>
        <w:pStyle w:val="105"/>
        <w:spacing w:before="120" w:after="120"/>
        <w:rPr>
          <w:rFonts w:hint="eastAsia"/>
        </w:rPr>
      </w:pPr>
      <w:bookmarkStart w:id="92" w:name="_Toc147921943"/>
      <w:bookmarkStart w:id="93" w:name="_Toc147914500"/>
      <w:r>
        <w:rPr>
          <w:rFonts w:hint="eastAsia"/>
        </w:rPr>
        <w:t>随访目的</w:t>
      </w:r>
      <w:bookmarkEnd w:id="92"/>
      <w:bookmarkEnd w:id="93"/>
      <w:r>
        <w:rPr>
          <w:rFonts w:hint="eastAsia"/>
        </w:rPr>
        <w:t xml:space="preserve"> </w:t>
      </w:r>
    </w:p>
    <w:p>
      <w:pPr>
        <w:pStyle w:val="56"/>
        <w:ind w:firstLine="420"/>
        <w:rPr>
          <w:rFonts w:hint="eastAsia"/>
        </w:rPr>
      </w:pPr>
      <w:r>
        <w:rPr>
          <w:rFonts w:hint="eastAsia"/>
        </w:rPr>
        <w:t>通过随访了解银屑病患者病情康复情况、用药期间有无不良反应、是否遵医嘱服药、生活方式是否调整等方面内容，从而判断患者是否积极接受治疗，能及时了解并解决患者用药疑问，赢得患者和家庭成员的信任度，提高患者的满意度。</w:t>
      </w:r>
    </w:p>
    <w:p>
      <w:pPr>
        <w:pStyle w:val="105"/>
        <w:spacing w:before="120" w:after="120"/>
        <w:rPr>
          <w:rFonts w:hint="eastAsia"/>
        </w:rPr>
      </w:pPr>
      <w:bookmarkStart w:id="94" w:name="_Toc147921944"/>
      <w:bookmarkStart w:id="95" w:name="_Toc147914501"/>
      <w:r>
        <w:rPr>
          <w:rFonts w:hint="eastAsia"/>
        </w:rPr>
        <w:t>随访计划</w:t>
      </w:r>
      <w:bookmarkEnd w:id="94"/>
      <w:bookmarkEnd w:id="95"/>
      <w:r>
        <w:rPr>
          <w:rFonts w:hint="eastAsia"/>
        </w:rPr>
        <w:t xml:space="preserve"> </w:t>
      </w:r>
    </w:p>
    <w:p>
      <w:pPr>
        <w:pStyle w:val="56"/>
        <w:ind w:firstLine="420"/>
        <w:rPr>
          <w:rFonts w:hint="eastAsia"/>
        </w:rPr>
      </w:pPr>
      <w:r>
        <w:rPr>
          <w:rFonts w:hint="eastAsia"/>
        </w:rPr>
        <w:t>银屑病患者的随访应结合患者的自身情况、治疗方案配合用药频率及复诊复查周期设定,常规患者每月回访，首次购药患者3~7天内安排第一次随访，在患者购药后30天左右进行第二次随访，后续随访每季度进行一次或根据患者药物治疗方案及病情变化个性化制定。</w:t>
      </w:r>
    </w:p>
    <w:p>
      <w:pPr>
        <w:pStyle w:val="105"/>
        <w:spacing w:before="120" w:after="120"/>
        <w:rPr>
          <w:rFonts w:hint="eastAsia"/>
        </w:rPr>
      </w:pPr>
      <w:bookmarkStart w:id="96" w:name="_Toc147914502"/>
      <w:bookmarkStart w:id="97" w:name="_Toc147921945"/>
      <w:r>
        <w:rPr>
          <w:rFonts w:hint="eastAsia"/>
        </w:rPr>
        <w:t>随访形式</w:t>
      </w:r>
      <w:bookmarkEnd w:id="96"/>
      <w:bookmarkEnd w:id="97"/>
      <w:r>
        <w:rPr>
          <w:rFonts w:hint="eastAsia"/>
        </w:rPr>
        <w:t xml:space="preserve"> </w:t>
      </w:r>
    </w:p>
    <w:p>
      <w:pPr>
        <w:pStyle w:val="56"/>
        <w:ind w:firstLine="420"/>
        <w:rPr>
          <w:rFonts w:hint="eastAsia"/>
        </w:rPr>
      </w:pPr>
      <w:r>
        <w:rPr>
          <w:rFonts w:hint="eastAsia"/>
        </w:rPr>
        <w:t xml:space="preserve">随访可以通过电话、店内面谈、微信等方式开展；推荐沟通更为充分的店内面谈，也可根据患者或患者家属意愿采用微信或APP小程序等效率更高、更便利的方式，同时可以借助图片、视频、语音等多种形式辅助随访。 </w:t>
      </w:r>
    </w:p>
    <w:p>
      <w:pPr>
        <w:pStyle w:val="105"/>
        <w:spacing w:before="120" w:after="120"/>
        <w:rPr>
          <w:rFonts w:hint="eastAsia"/>
        </w:rPr>
      </w:pPr>
      <w:bookmarkStart w:id="98" w:name="_Toc147914503"/>
      <w:bookmarkStart w:id="99" w:name="_Toc147921946"/>
      <w:r>
        <w:rPr>
          <w:rFonts w:hint="eastAsia"/>
        </w:rPr>
        <w:t>随访内容</w:t>
      </w:r>
      <w:bookmarkEnd w:id="98"/>
      <w:bookmarkEnd w:id="99"/>
      <w:r>
        <w:rPr>
          <w:rFonts w:hint="eastAsia"/>
        </w:rPr>
        <w:t xml:space="preserve"> </w:t>
      </w:r>
    </w:p>
    <w:p>
      <w:pPr>
        <w:pStyle w:val="165"/>
        <w:rPr>
          <w:rFonts w:hint="eastAsia"/>
        </w:rPr>
      </w:pPr>
      <w:r>
        <w:rPr>
          <w:rFonts w:hint="eastAsia"/>
        </w:rPr>
        <w:t xml:space="preserve">预后及随访。关注患者精神心理因素、不良生活习惯（如吸烟、酗酒）、肥胖、感染（包含呼吸道感染）、外伤、寒冷干燥、紧张焦虑、睡眠障碍和中断治疗与等均可诱发或加重疾病。提醒患者应不断总结、摸索发病规律，培养良好的生活习惯，配合积极有效的治疗，预防银屑病的复发。 </w:t>
      </w:r>
    </w:p>
    <w:p>
      <w:pPr>
        <w:pStyle w:val="165"/>
        <w:rPr>
          <w:rFonts w:hint="eastAsia"/>
        </w:rPr>
      </w:pPr>
      <w:r>
        <w:rPr>
          <w:rFonts w:hint="eastAsia"/>
        </w:rPr>
        <w:t>评估用药适宜性。患者使用生物制剂的用法用量是否准确，特殊人群的用药是否合理，并提醒使用的注意事项。</w:t>
      </w:r>
    </w:p>
    <w:p>
      <w:pPr>
        <w:pStyle w:val="165"/>
        <w:rPr>
          <w:rFonts w:hint="eastAsia"/>
        </w:rPr>
      </w:pPr>
      <w:r>
        <w:rPr>
          <w:rFonts w:hint="eastAsia"/>
        </w:rPr>
        <w:t>监测用药安全性。监测患者在药物使用过程中是否出现感染加重、瘙痒、恶心呕吐、便秘、腹泻等，及时提出避免、缓解不适症状、不良反应干预的建议。例如： 应用免疫抑制剂和阿维A等系统药物的患者，需定期监测药物不良反应。</w:t>
      </w:r>
    </w:p>
    <w:p>
      <w:pPr>
        <w:pStyle w:val="165"/>
        <w:rPr>
          <w:rFonts w:hint="eastAsia"/>
        </w:rPr>
      </w:pPr>
      <w:r>
        <w:rPr>
          <w:rFonts w:hint="eastAsia"/>
        </w:rPr>
        <w:t xml:space="preserve">跟踪治疗依从性。了解患者是否正确用药、有无漏服、是否有自行服用的药物、是否出现耐药等；记录患者病情进展、体检、银屑病共病等疾病情况，作用靶点。预防中断药物治疗情况发生。 </w:t>
      </w:r>
    </w:p>
    <w:p>
      <w:pPr>
        <w:pStyle w:val="165"/>
        <w:rPr>
          <w:rFonts w:hint="eastAsia"/>
        </w:rPr>
      </w:pPr>
      <w:r>
        <w:rPr>
          <w:rFonts w:hint="eastAsia"/>
        </w:rPr>
        <w:t>心理护理指导。随访中应注意观察患者心理状态变化，是否有睡眠障碍、焦虑抑制等心理问题，引导患者正确认识疾病，不急于求成，不盲目追求“根治”，杜绝偏方，提高患者治疗的依从性，保持乐观心情。</w:t>
      </w:r>
    </w:p>
    <w:p>
      <w:pPr>
        <w:pStyle w:val="164"/>
        <w:rPr>
          <w:rFonts w:hint="eastAsia"/>
        </w:rPr>
      </w:pPr>
      <w:r>
        <w:rPr>
          <w:rFonts w:hint="eastAsia"/>
        </w:rPr>
        <w:t>焦躁型护理方法。收集银屑病相关资料与患者沟通，告知其病因当前治疗方案的优势，引导患者正确认识疾病。</w:t>
      </w:r>
    </w:p>
    <w:p>
      <w:pPr>
        <w:pStyle w:val="164"/>
        <w:rPr>
          <w:rFonts w:hint="eastAsia"/>
        </w:rPr>
      </w:pPr>
      <w:r>
        <w:rPr>
          <w:rFonts w:hint="eastAsia"/>
        </w:rPr>
        <w:t>自卑型护理方法。向患者分享成功治疗案例，增加治疗信心；指导患者进行优质皮肤护理，改善皮肤状态。</w:t>
      </w:r>
    </w:p>
    <w:p>
      <w:pPr>
        <w:pStyle w:val="164"/>
        <w:rPr>
          <w:rFonts w:hint="eastAsia"/>
        </w:rPr>
      </w:pPr>
      <w:r>
        <w:rPr>
          <w:rFonts w:hint="eastAsia"/>
        </w:rPr>
        <w:t>恐惧型护理方法。组织患者观看银屑病相关视频，并为其进行知识讲解，强调注意事项；列举成功治疗案例，缓解恐惧心理。</w:t>
      </w:r>
    </w:p>
    <w:p>
      <w:pPr>
        <w:pStyle w:val="165"/>
        <w:rPr>
          <w:rFonts w:hint="eastAsia"/>
        </w:rPr>
      </w:pPr>
      <w:r>
        <w:rPr>
          <w:rFonts w:hint="eastAsia"/>
        </w:rPr>
        <w:t>复查提醒。提醒患者按时到医院复诊复查，通过记录复诊复查情况，了解患者病情及治疗效果，指导患者做好居家服药和不良反应发生的记录。发现患者病情异常，建议就医。</w:t>
      </w:r>
    </w:p>
    <w:p>
      <w:pPr>
        <w:pStyle w:val="165"/>
        <w:rPr>
          <w:rFonts w:hint="eastAsia"/>
        </w:rPr>
      </w:pPr>
      <w:r>
        <w:rPr>
          <w:rFonts w:hint="eastAsia"/>
        </w:rPr>
        <w:t>康复指导。应加强患者对银屑病的认识，银屑病是一种免疫介导的系统炎症性疾病，并无传染性，应教育患者建立自信，不应对患病感到自卑、抑郁。分析患者发病和加重的重要诱发因素，拟定合理的治疗方案，开展科普教育，使患者认识心理治疗的重要性。</w:t>
      </w:r>
    </w:p>
    <w:p>
      <w:pPr>
        <w:pStyle w:val="165"/>
        <w:rPr>
          <w:rFonts w:hint="eastAsia"/>
        </w:rPr>
      </w:pPr>
      <w:r>
        <w:rPr>
          <w:rFonts w:hint="eastAsia"/>
        </w:rPr>
        <w:t>生活方式指导。对不同的患者进行不同的健康管理，教育患者养成良好的生活习惯，早睡早起、劳逸结合，合理膳食、健康饮食（戒烟酒），适当运动、增强体质，注意卫生、预防感染。 尽量通过药物治疗和自身调理到临床治愈目的。</w:t>
      </w:r>
    </w:p>
    <w:p>
      <w:pPr>
        <w:pStyle w:val="165"/>
        <w:rPr>
          <w:rFonts w:hint="eastAsia"/>
        </w:rPr>
      </w:pPr>
      <w:r>
        <w:rPr>
          <w:rFonts w:hint="eastAsia"/>
        </w:rPr>
        <w:t xml:space="preserve">药品储存。指导患者按说明书标注的贮藏要求进行药品存放。有特殊温度要求的药品应存放在专用设备中。口服药物应避免与皮肤、黏膜直接接触。 </w:t>
      </w:r>
    </w:p>
    <w:p>
      <w:pPr>
        <w:pStyle w:val="165"/>
      </w:pPr>
      <w:r>
        <w:rPr>
          <w:rFonts w:hint="eastAsia"/>
        </w:rPr>
        <w:t>提供支付帮助。详细介绍医保和慈善项目相关事宜，协助患者整理申办资料、了解商业保险项目，尽快获得医保、商保、慈善援助支持。最大可能帮助减轻患者经济负担。</w:t>
      </w:r>
    </w:p>
    <w:p>
      <w:pPr>
        <w:pStyle w:val="56"/>
        <w:ind w:firstLine="420"/>
        <w:rPr>
          <w:rFonts w:hint="eastAsia"/>
        </w:rPr>
      </w:pPr>
      <w:r>
        <w:rPr>
          <w:rFonts w:hint="eastAsia"/>
        </w:rPr>
        <w:t>患者随访记录表模版见《表</w:t>
      </w:r>
      <w:r>
        <w:t>F</w:t>
      </w:r>
      <w:r>
        <w:rPr>
          <w:rFonts w:hint="eastAsia"/>
        </w:rPr>
        <w:t xml:space="preserve">.1患者随访记录》。 </w:t>
      </w:r>
    </w:p>
    <w:p>
      <w:pPr>
        <w:pStyle w:val="105"/>
        <w:spacing w:before="120" w:after="120"/>
        <w:rPr>
          <w:rFonts w:hint="eastAsia"/>
        </w:rPr>
      </w:pPr>
      <w:bookmarkStart w:id="100" w:name="_Toc147914504"/>
      <w:bookmarkStart w:id="101" w:name="_Toc147921947"/>
      <w:r>
        <w:rPr>
          <w:rFonts w:hint="eastAsia"/>
        </w:rPr>
        <w:t>注意事项</w:t>
      </w:r>
      <w:bookmarkEnd w:id="100"/>
      <w:bookmarkEnd w:id="101"/>
      <w:r>
        <w:rPr>
          <w:rFonts w:hint="eastAsia"/>
        </w:rPr>
        <w:t xml:space="preserve"> </w:t>
      </w:r>
    </w:p>
    <w:p>
      <w:pPr>
        <w:pStyle w:val="165"/>
        <w:rPr>
          <w:rFonts w:hint="eastAsia"/>
        </w:rPr>
      </w:pPr>
      <w:r>
        <w:rPr>
          <w:rFonts w:hint="eastAsia"/>
        </w:rPr>
        <w:t xml:space="preserve">对患者随访前应征询患者或家属随访知情同意。 </w:t>
      </w:r>
    </w:p>
    <w:p>
      <w:pPr>
        <w:pStyle w:val="165"/>
        <w:rPr>
          <w:rFonts w:hint="eastAsia"/>
        </w:rPr>
      </w:pPr>
      <w:r>
        <w:rPr>
          <w:rFonts w:hint="eastAsia"/>
        </w:rPr>
        <w:t xml:space="preserve">涉及超专业能力问题，应查阅文献或与上级药师沟通，或提示患者就医。 </w:t>
      </w:r>
    </w:p>
    <w:p>
      <w:pPr>
        <w:pStyle w:val="165"/>
        <w:rPr>
          <w:rFonts w:hint="eastAsia"/>
        </w:rPr>
      </w:pPr>
      <w:r>
        <w:rPr>
          <w:rFonts w:hint="eastAsia"/>
        </w:rPr>
        <w:t>帮助患者时不应随便承诺，有寻求帮助的患者，能做到的，应尽力去帮助，如做不到的服务，要向患者解释清楚，得到患者的理解，做到诚信服务。</w:t>
      </w:r>
    </w:p>
    <w:p>
      <w:pPr>
        <w:pStyle w:val="165"/>
      </w:pPr>
      <w:r>
        <w:rPr>
          <w:rFonts w:hint="eastAsia"/>
        </w:rPr>
        <w:t>每次随访应全面、详细、持续收集患者疾病和用药信息，每次评估后,对药物治疗方案存在的药物相关问题，提出用药方案调整、预期治疗效果、可能发生的药物不良反应与对策等建议。</w:t>
      </w:r>
    </w:p>
    <w:p>
      <w:pPr>
        <w:pStyle w:val="104"/>
        <w:spacing w:before="240" w:after="240"/>
        <w:rPr>
          <w:rFonts w:hint="eastAsia"/>
        </w:rPr>
      </w:pPr>
      <w:bookmarkStart w:id="102" w:name="_Toc147921948"/>
      <w:bookmarkStart w:id="103" w:name="_Toc147914505"/>
      <w:r>
        <w:rPr>
          <w:rFonts w:hint="eastAsia"/>
        </w:rPr>
        <w:t>用药教育</w:t>
      </w:r>
      <w:bookmarkEnd w:id="102"/>
      <w:bookmarkEnd w:id="103"/>
      <w:r>
        <w:rPr>
          <w:rFonts w:hint="eastAsia"/>
        </w:rPr>
        <w:t xml:space="preserve"> </w:t>
      </w:r>
    </w:p>
    <w:p>
      <w:pPr>
        <w:pStyle w:val="105"/>
        <w:spacing w:before="120" w:after="120"/>
        <w:rPr>
          <w:rFonts w:hint="eastAsia"/>
        </w:rPr>
      </w:pPr>
      <w:bookmarkStart w:id="104" w:name="_Toc147914506"/>
      <w:bookmarkStart w:id="105" w:name="_Toc147921949"/>
      <w:r>
        <w:rPr>
          <w:rFonts w:hint="eastAsia"/>
        </w:rPr>
        <w:t>用药教育目的</w:t>
      </w:r>
      <w:bookmarkEnd w:id="104"/>
      <w:bookmarkEnd w:id="105"/>
      <w:r>
        <w:rPr>
          <w:rFonts w:hint="eastAsia"/>
        </w:rPr>
        <w:t xml:space="preserve"> </w:t>
      </w:r>
    </w:p>
    <w:p>
      <w:pPr>
        <w:pStyle w:val="56"/>
        <w:ind w:firstLine="420"/>
        <w:rPr>
          <w:rFonts w:hint="eastAsia"/>
        </w:rPr>
      </w:pPr>
      <w:r>
        <w:rPr>
          <w:rFonts w:hint="eastAsia"/>
        </w:rPr>
        <w:t xml:space="preserve">药学技术人员对到店购药患者或公众进行合理用药指导、普及疾病及用药知识，以增强其用药安全意识、正确认识药品不良反应及有效防范，提高用药依从性、降低用药错误的发生率，提高患者自我管理能力。 </w:t>
      </w:r>
    </w:p>
    <w:p>
      <w:pPr>
        <w:pStyle w:val="105"/>
        <w:spacing w:before="120" w:after="120"/>
        <w:rPr>
          <w:rFonts w:hint="eastAsia"/>
        </w:rPr>
      </w:pPr>
      <w:bookmarkStart w:id="106" w:name="_Toc147921950"/>
      <w:bookmarkStart w:id="107" w:name="_Toc147914507"/>
      <w:r>
        <w:rPr>
          <w:rFonts w:hint="eastAsia"/>
        </w:rPr>
        <w:t>用药教育形式</w:t>
      </w:r>
      <w:bookmarkEnd w:id="106"/>
      <w:bookmarkEnd w:id="107"/>
      <w:r>
        <w:rPr>
          <w:rFonts w:hint="eastAsia"/>
        </w:rPr>
        <w:t xml:space="preserve"> </w:t>
      </w:r>
    </w:p>
    <w:p>
      <w:pPr>
        <w:pStyle w:val="56"/>
        <w:ind w:firstLine="420"/>
        <w:rPr>
          <w:rFonts w:hint="eastAsia"/>
        </w:rPr>
      </w:pPr>
      <w:r>
        <w:rPr>
          <w:rFonts w:hint="eastAsia"/>
        </w:rPr>
        <w:t xml:space="preserve">用药教育可在用药咨询、处方交付、用药干预、跟踪随访以及宣教讲座中进行，包括面谈、讲座或利用互联网手段等方式。 </w:t>
      </w:r>
    </w:p>
    <w:p>
      <w:pPr>
        <w:pStyle w:val="105"/>
        <w:spacing w:before="120" w:after="120"/>
        <w:rPr>
          <w:rFonts w:hint="eastAsia"/>
        </w:rPr>
      </w:pPr>
      <w:bookmarkStart w:id="108" w:name="_Toc147914508"/>
      <w:bookmarkStart w:id="109" w:name="_Toc147921951"/>
      <w:r>
        <w:rPr>
          <w:rFonts w:hint="eastAsia"/>
        </w:rPr>
        <w:t>用药教育内容</w:t>
      </w:r>
      <w:bookmarkEnd w:id="108"/>
      <w:bookmarkEnd w:id="109"/>
      <w:r>
        <w:rPr>
          <w:rFonts w:hint="eastAsia"/>
        </w:rPr>
        <w:t xml:space="preserve"> </w:t>
      </w:r>
    </w:p>
    <w:p>
      <w:pPr>
        <w:pStyle w:val="165"/>
        <w:rPr>
          <w:rFonts w:hint="eastAsia"/>
        </w:rPr>
      </w:pPr>
      <w:r>
        <w:rPr>
          <w:rFonts w:hint="eastAsia"/>
        </w:rPr>
        <w:t xml:space="preserve">银屑病预防与治疗相关知识。 </w:t>
      </w:r>
    </w:p>
    <w:p>
      <w:pPr>
        <w:pStyle w:val="165"/>
        <w:rPr>
          <w:rFonts w:hint="eastAsia"/>
        </w:rPr>
      </w:pPr>
      <w:r>
        <w:rPr>
          <w:rFonts w:hint="eastAsia"/>
        </w:rPr>
        <w:t xml:space="preserve">特殊药品注意事项：糖皮质激素、维生素 D3衍生物、维A酸类、钙调磷酸酶抑制剂等安全、合理使用知识，包括服用剂量、频率、进餐间隔时间以及药物与食物或合并药物之间可能存在的相互作用等。 </w:t>
      </w:r>
    </w:p>
    <w:p>
      <w:pPr>
        <w:pStyle w:val="165"/>
      </w:pPr>
      <w:r>
        <w:rPr>
          <w:rFonts w:hint="eastAsia"/>
        </w:rPr>
        <w:t>生物制剂的分类、适应症、使用方法，包括</w:t>
      </w:r>
      <w:r>
        <w:t xml:space="preserve"> </w:t>
      </w:r>
      <w:r>
        <w:rPr>
          <w:rFonts w:hint="eastAsia"/>
        </w:rPr>
        <w:t>①</w:t>
      </w:r>
      <w:r>
        <w:t xml:space="preserve"> </w:t>
      </w:r>
      <w:r>
        <w:rPr>
          <w:rFonts w:hint="eastAsia"/>
        </w:rPr>
        <w:t>肿瘤坏死因子</w:t>
      </w:r>
      <w:r>
        <w:t xml:space="preserve"> α</w:t>
      </w:r>
      <w:r>
        <w:rPr>
          <w:rFonts w:hint="eastAsia"/>
        </w:rPr>
        <w:t>（</w:t>
      </w:r>
      <w:r>
        <w:t>TNF ⁃α</w:t>
      </w:r>
      <w:r>
        <w:rPr>
          <w:rFonts w:hint="eastAsia"/>
        </w:rPr>
        <w:t>）抑制剂：依那西普</w:t>
      </w:r>
      <w:r>
        <w:t xml:space="preserve"> </w:t>
      </w:r>
      <w:r>
        <w:rPr>
          <w:rFonts w:hint="eastAsia"/>
        </w:rPr>
        <w:t>（</w:t>
      </w:r>
      <w:r>
        <w:t>etanercept</w:t>
      </w:r>
      <w:r>
        <w:rPr>
          <w:rFonts w:hint="eastAsia"/>
        </w:rPr>
        <w:t>）、英夫利西单抗（</w:t>
      </w:r>
      <w:r>
        <w:t>inflaximab</w:t>
      </w:r>
      <w:r>
        <w:rPr>
          <w:rFonts w:hint="eastAsia"/>
        </w:rPr>
        <w:t>）、阿达木单抗（</w:t>
      </w:r>
      <w:r>
        <w:t>adalimumab</w:t>
      </w:r>
      <w:r>
        <w:rPr>
          <w:rFonts w:hint="eastAsia"/>
        </w:rPr>
        <w:t>）；②白细胞介素</w:t>
      </w:r>
      <w:r>
        <w:t>12/23</w:t>
      </w:r>
      <w:r>
        <w:rPr>
          <w:rFonts w:hint="eastAsia"/>
        </w:rPr>
        <w:t>（</w:t>
      </w:r>
      <w:r>
        <w:t>IL⁃12/23</w:t>
      </w:r>
      <w:r>
        <w:rPr>
          <w:rFonts w:hint="eastAsia"/>
        </w:rPr>
        <w:t>）抑制剂：乌司奴单抗（</w:t>
      </w:r>
      <w:r>
        <w:t>ustekinumab</w:t>
      </w:r>
      <w:r>
        <w:rPr>
          <w:rFonts w:hint="eastAsia"/>
        </w:rPr>
        <w:t>）、古塞奇尤单抗（</w:t>
      </w:r>
      <w:r>
        <w:t>guselkumab</w:t>
      </w:r>
      <w:r>
        <w:rPr>
          <w:rFonts w:hint="eastAsia"/>
        </w:rPr>
        <w:t>）；③白细胞介素</w:t>
      </w:r>
      <w:r>
        <w:t>17A</w:t>
      </w:r>
      <w:r>
        <w:rPr>
          <w:rFonts w:hint="eastAsia"/>
        </w:rPr>
        <w:t>（</w:t>
      </w:r>
      <w:r>
        <w:t>IL⁃17A</w:t>
      </w:r>
      <w:r>
        <w:rPr>
          <w:rFonts w:hint="eastAsia"/>
        </w:rPr>
        <w:t>）抑制剂：司</w:t>
      </w:r>
      <w:r>
        <w:t xml:space="preserve"> </w:t>
      </w:r>
      <w:r>
        <w:rPr>
          <w:rFonts w:hint="eastAsia"/>
        </w:rPr>
        <w:t>库</w:t>
      </w:r>
      <w:r>
        <w:t xml:space="preserve"> </w:t>
      </w:r>
      <w:r>
        <w:rPr>
          <w:rFonts w:hint="eastAsia"/>
        </w:rPr>
        <w:t>奇</w:t>
      </w:r>
      <w:r>
        <w:t xml:space="preserve"> </w:t>
      </w:r>
      <w:r>
        <w:rPr>
          <w:rFonts w:hint="eastAsia"/>
        </w:rPr>
        <w:t>尤</w:t>
      </w:r>
      <w:r>
        <w:t xml:space="preserve"> </w:t>
      </w:r>
      <w:r>
        <w:rPr>
          <w:rFonts w:hint="eastAsia"/>
        </w:rPr>
        <w:t>单</w:t>
      </w:r>
      <w:r>
        <w:t xml:space="preserve"> </w:t>
      </w:r>
      <w:r>
        <w:rPr>
          <w:rFonts w:hint="eastAsia"/>
        </w:rPr>
        <w:t>抗（</w:t>
      </w:r>
      <w:r>
        <w:t>secukinumab</w:t>
      </w:r>
      <w:r>
        <w:rPr>
          <w:rFonts w:hint="eastAsia"/>
        </w:rPr>
        <w:t>）、依</w:t>
      </w:r>
      <w:r>
        <w:t xml:space="preserve"> </w:t>
      </w:r>
      <w:r>
        <w:rPr>
          <w:rFonts w:hint="eastAsia"/>
        </w:rPr>
        <w:t>奇</w:t>
      </w:r>
      <w:r>
        <w:t xml:space="preserve"> </w:t>
      </w:r>
      <w:r>
        <w:rPr>
          <w:rFonts w:hint="eastAsia"/>
        </w:rPr>
        <w:t>珠</w:t>
      </w:r>
      <w:r>
        <w:t xml:space="preserve"> </w:t>
      </w:r>
      <w:r>
        <w:rPr>
          <w:rFonts w:hint="eastAsia"/>
        </w:rPr>
        <w:t>单</w:t>
      </w:r>
      <w:r>
        <w:t xml:space="preserve"> </w:t>
      </w:r>
      <w:r>
        <w:rPr>
          <w:rFonts w:hint="eastAsia"/>
        </w:rPr>
        <w:t>抗（</w:t>
      </w:r>
      <w:r>
        <w:t>ixekizumab</w:t>
      </w:r>
      <w:r>
        <w:rPr>
          <w:rFonts w:hint="eastAsia"/>
        </w:rPr>
        <w:t>）。</w:t>
      </w:r>
    </w:p>
    <w:p>
      <w:pPr>
        <w:pStyle w:val="165"/>
        <w:rPr>
          <w:rFonts w:hint="eastAsia"/>
        </w:rPr>
      </w:pPr>
      <w:r>
        <w:rPr>
          <w:rFonts w:hint="eastAsia"/>
        </w:rPr>
        <w:t xml:space="preserve">正确认识药物治疗过程中出现的不良反应，告知药品不良反应的识别及应对措施。 </w:t>
      </w:r>
    </w:p>
    <w:p>
      <w:pPr>
        <w:pStyle w:val="165"/>
        <w:rPr>
          <w:rFonts w:hint="eastAsia"/>
        </w:rPr>
      </w:pPr>
      <w:r>
        <w:rPr>
          <w:rFonts w:hint="eastAsia"/>
        </w:rPr>
        <w:t xml:space="preserve">定期进行复查复诊的重要性及复查项目。 </w:t>
      </w:r>
    </w:p>
    <w:p>
      <w:pPr>
        <w:pStyle w:val="165"/>
        <w:rPr>
          <w:rFonts w:hint="eastAsia"/>
        </w:rPr>
      </w:pPr>
      <w:r>
        <w:rPr>
          <w:rFonts w:hint="eastAsia"/>
        </w:rPr>
        <w:t xml:space="preserve">心理健康、生活方式、营养支持、过期药品处理等知识。 </w:t>
      </w:r>
    </w:p>
    <w:p>
      <w:pPr>
        <w:pStyle w:val="165"/>
        <w:rPr>
          <w:rFonts w:hint="eastAsia"/>
        </w:rPr>
      </w:pPr>
      <w:r>
        <w:rPr>
          <w:rFonts w:hint="eastAsia"/>
        </w:rPr>
        <w:t xml:space="preserve">借助宣教材料，指导患者居家治疗时正确进行自我用药管理，介绍防止用药不依从的有效办法如设置用药提醒、使用分药盒等。 </w:t>
      </w:r>
    </w:p>
    <w:p>
      <w:pPr>
        <w:pStyle w:val="165"/>
        <w:rPr>
          <w:rFonts w:hint="eastAsia"/>
        </w:rPr>
      </w:pPr>
      <w:r>
        <w:rPr>
          <w:rFonts w:hint="eastAsia"/>
        </w:rPr>
        <w:t>针对自我管理能力不足的患者,依从性差常导致银屑病反复发作,高复发率严重影响患者生活质量，应进行个性化健康教育，加强健康教育和行为管理,提高患者自我管理能力,使银屑病的治疗达到连续性、有效性,实现延续治疗、降低复发提高生活质量的目标。</w:t>
      </w:r>
    </w:p>
    <w:p>
      <w:pPr>
        <w:pStyle w:val="104"/>
        <w:spacing w:before="240" w:after="240"/>
        <w:rPr>
          <w:rFonts w:hint="eastAsia"/>
        </w:rPr>
      </w:pPr>
      <w:bookmarkStart w:id="110" w:name="_Toc147914509"/>
      <w:bookmarkStart w:id="111" w:name="_Toc147921952"/>
      <w:r>
        <w:rPr>
          <w:rFonts w:hint="eastAsia"/>
        </w:rPr>
        <w:t>服务质控与评价改进</w:t>
      </w:r>
      <w:bookmarkEnd w:id="110"/>
      <w:bookmarkEnd w:id="111"/>
      <w:r>
        <w:rPr>
          <w:rFonts w:hint="eastAsia"/>
        </w:rPr>
        <w:t xml:space="preserve"> </w:t>
      </w:r>
    </w:p>
    <w:p>
      <w:pPr>
        <w:pStyle w:val="105"/>
        <w:spacing w:before="120" w:after="120"/>
      </w:pPr>
      <w:bookmarkStart w:id="112" w:name="_Toc147914510"/>
      <w:bookmarkStart w:id="113" w:name="_Toc147921953"/>
      <w:r>
        <w:rPr>
          <w:rFonts w:hint="eastAsia"/>
        </w:rPr>
        <w:t>目的</w:t>
      </w:r>
      <w:bookmarkEnd w:id="112"/>
      <w:bookmarkEnd w:id="113"/>
    </w:p>
    <w:p>
      <w:pPr>
        <w:pStyle w:val="56"/>
        <w:ind w:firstLine="420"/>
        <w:rPr>
          <w:rFonts w:hint="eastAsia"/>
        </w:rPr>
      </w:pPr>
      <w:r>
        <w:rPr>
          <w:rFonts w:hint="eastAsia"/>
        </w:rPr>
        <w:t xml:space="preserve">经营银屑病治疗药品的零售药店应对药学服务的质量进行控制和评价,控制和评价依据国家相关法律法规、相关的国家与行业标准及本企业相关制度和流程等。 </w:t>
      </w:r>
    </w:p>
    <w:p>
      <w:pPr>
        <w:pStyle w:val="105"/>
        <w:spacing w:before="120" w:after="120"/>
      </w:pPr>
      <w:bookmarkStart w:id="114" w:name="_Toc147914511"/>
      <w:bookmarkStart w:id="115" w:name="_Toc147921954"/>
      <w:r>
        <w:rPr>
          <w:rFonts w:hint="eastAsia"/>
        </w:rPr>
        <w:t>风险点防控</w:t>
      </w:r>
      <w:bookmarkEnd w:id="114"/>
      <w:bookmarkEnd w:id="115"/>
    </w:p>
    <w:p>
      <w:pPr>
        <w:pStyle w:val="56"/>
        <w:ind w:firstLine="420"/>
        <w:rPr>
          <w:rFonts w:hint="eastAsia"/>
        </w:rPr>
      </w:pPr>
      <w:r>
        <w:rPr>
          <w:rFonts w:hint="eastAsia"/>
        </w:rPr>
        <w:t xml:space="preserve">加强风险点防控，定期开展风险评估与干预。对发生的质量事故事件，及时处理，分析不合格原因，制定纠正措施，对过程或管理进行调整，避免相关事件再次发生。 </w:t>
      </w:r>
    </w:p>
    <w:p>
      <w:pPr>
        <w:pStyle w:val="105"/>
        <w:spacing w:before="120" w:after="120"/>
      </w:pPr>
      <w:bookmarkStart w:id="116" w:name="_Toc147921955"/>
      <w:bookmarkStart w:id="117" w:name="_Toc147914512"/>
      <w:r>
        <w:rPr>
          <w:rFonts w:hint="eastAsia"/>
        </w:rPr>
        <w:t>评价与改进</w:t>
      </w:r>
      <w:bookmarkEnd w:id="116"/>
      <w:bookmarkEnd w:id="117"/>
    </w:p>
    <w:p>
      <w:pPr>
        <w:pStyle w:val="56"/>
        <w:ind w:firstLine="420"/>
        <w:rPr>
          <w:rFonts w:hint="eastAsia"/>
        </w:rPr>
      </w:pPr>
      <w:r>
        <w:rPr>
          <w:rFonts w:hint="eastAsia"/>
        </w:rPr>
        <w:t xml:space="preserve">每年应对药学服务工作开展情况进行评价，制定改进措施并持续督导改进。 </w:t>
      </w:r>
    </w:p>
    <w:p>
      <w:pPr>
        <w:pStyle w:val="56"/>
        <w:ind w:firstLine="420"/>
        <w:rPr>
          <w:rFonts w:hint="eastAsia"/>
        </w:rPr>
      </w:pPr>
      <w:r>
        <w:rPr>
          <w:rFonts w:hint="eastAsia"/>
        </w:rPr>
        <w:t xml:space="preserve">药学服务评价主体包括但不限于零售药店药学技术人员自我评价、服务对象评价和上级单位评价。 </w:t>
      </w:r>
    </w:p>
    <w:p>
      <w:pPr>
        <w:pStyle w:val="105"/>
        <w:spacing w:before="120" w:after="120"/>
        <w:rPr>
          <w:rFonts w:hint="eastAsia"/>
        </w:rPr>
      </w:pPr>
      <w:bookmarkStart w:id="118" w:name="_Toc147914513"/>
      <w:bookmarkStart w:id="119" w:name="_Toc147921956"/>
      <w:r>
        <w:rPr>
          <w:rFonts w:hint="eastAsia"/>
        </w:rPr>
        <w:t>药学服务评价指标包括但不限于以下内容</w:t>
      </w:r>
      <w:bookmarkEnd w:id="118"/>
      <w:bookmarkEnd w:id="119"/>
    </w:p>
    <w:p>
      <w:pPr>
        <w:pStyle w:val="165"/>
        <w:rPr>
          <w:rFonts w:hint="eastAsia"/>
        </w:rPr>
      </w:pPr>
      <w:r>
        <w:rPr>
          <w:rFonts w:hint="eastAsia"/>
        </w:rPr>
        <w:t>药品供应能力。配备满足银屑病患者需求的药品。</w:t>
      </w:r>
    </w:p>
    <w:p>
      <w:pPr>
        <w:pStyle w:val="165"/>
        <w:rPr>
          <w:rFonts w:hint="eastAsia"/>
        </w:rPr>
      </w:pPr>
      <w:r>
        <w:rPr>
          <w:rFonts w:hint="eastAsia"/>
        </w:rPr>
        <w:t>人员配备与培训。药学技术人员数量与资质应与经营规模及服务相适应，药学技术人员的继续教育和培训应结合药店实际能力，提前规划、定期组织实施。</w:t>
      </w:r>
    </w:p>
    <w:p>
      <w:pPr>
        <w:pStyle w:val="165"/>
        <w:rPr>
          <w:rFonts w:hint="eastAsia"/>
        </w:rPr>
      </w:pPr>
      <w:r>
        <w:rPr>
          <w:rFonts w:hint="eastAsia"/>
        </w:rPr>
        <w:t>药学服务设施设备要求。药店应设立药学服务区或咨询室，提供用药咨询和专业指导服务，建立相对独立的交流服务空间，可以保护患者隐私。配备银屑病的疾病临床治疗指南、医药学参考工具书等资料，为药学服务和患者提供参考。</w:t>
      </w:r>
    </w:p>
    <w:p>
      <w:pPr>
        <w:pStyle w:val="165"/>
        <w:rPr>
          <w:rFonts w:hint="eastAsia"/>
        </w:rPr>
      </w:pPr>
      <w:r>
        <w:rPr>
          <w:rFonts w:hint="eastAsia"/>
        </w:rPr>
        <w:t>药学服务的工作范围：健康促进和疾病预防，自我药疗与患者教育，指导正确使用药品，健康管理和疾病管理。</w:t>
      </w:r>
    </w:p>
    <w:p>
      <w:pPr>
        <w:pStyle w:val="109"/>
        <w:rPr>
          <w:rFonts w:hint="eastAsia"/>
        </w:rPr>
      </w:pPr>
      <w:r>
        <w:rPr>
          <w:rFonts w:hint="eastAsia"/>
        </w:rPr>
        <w:t xml:space="preserve">服务银屑病患者人次、为银屑病患者建档人数、随访人次、解决用药问题次数、配送药品人次、接待网购患者人次、援助赠药人次，以及患者档案记录质量等。 </w:t>
      </w:r>
    </w:p>
    <w:p>
      <w:pPr>
        <w:pStyle w:val="109"/>
        <w:rPr>
          <w:rFonts w:hint="eastAsia"/>
        </w:rPr>
      </w:pPr>
      <w:r>
        <w:rPr>
          <w:rFonts w:hint="eastAsia"/>
        </w:rPr>
        <w:t xml:space="preserve">接待咨询人次、咨询总结与分享数量。 </w:t>
      </w:r>
    </w:p>
    <w:p>
      <w:pPr>
        <w:pStyle w:val="109"/>
        <w:rPr>
          <w:rFonts w:hint="eastAsia"/>
        </w:rPr>
      </w:pPr>
      <w:r>
        <w:rPr>
          <w:rFonts w:hint="eastAsia"/>
        </w:rPr>
        <w:t xml:space="preserve">银屑病治疗药物处方审核数量，不合理处方数量及不合理处方的汇总分析。 </w:t>
      </w:r>
    </w:p>
    <w:p>
      <w:pPr>
        <w:pStyle w:val="109"/>
        <w:rPr>
          <w:rFonts w:hint="eastAsia"/>
        </w:rPr>
      </w:pPr>
      <w:r>
        <w:rPr>
          <w:rFonts w:hint="eastAsia"/>
        </w:rPr>
        <w:t xml:space="preserve">银屑病治疗药物不良反应记录及报告数量、ADR 干预好转率。 </w:t>
      </w:r>
    </w:p>
    <w:p>
      <w:pPr>
        <w:pStyle w:val="109"/>
        <w:rPr>
          <w:rFonts w:hint="eastAsia"/>
        </w:rPr>
      </w:pPr>
      <w:r>
        <w:rPr>
          <w:rFonts w:hint="eastAsia"/>
        </w:rPr>
        <w:t xml:space="preserve">患者满意度、投诉人次等。 </w:t>
      </w:r>
    </w:p>
    <w:p>
      <w:pPr>
        <w:pStyle w:val="105"/>
        <w:spacing w:before="120" w:after="120"/>
      </w:pPr>
      <w:bookmarkStart w:id="120" w:name="_Toc147914514"/>
      <w:bookmarkStart w:id="121" w:name="_Toc147921957"/>
      <w:r>
        <w:rPr>
          <w:rFonts w:hint="eastAsia"/>
        </w:rPr>
        <w:t>循环与持续改进</w:t>
      </w:r>
      <w:bookmarkEnd w:id="120"/>
      <w:bookmarkEnd w:id="121"/>
    </w:p>
    <w:p>
      <w:pPr>
        <w:pStyle w:val="56"/>
        <w:ind w:firstLine="420"/>
        <w:rPr>
          <w:rFonts w:hint="eastAsia"/>
        </w:rPr>
      </w:pPr>
      <w:r>
        <w:rPr>
          <w:rFonts w:hint="eastAsia"/>
        </w:rPr>
        <w:t>根据药学服务能力与药学服务工作评估结果，制定激励机制，促进药学技术人员提高药学服务水平与能力的良性循环与持续改进。</w:t>
      </w:r>
    </w:p>
    <w:p>
      <w:pPr>
        <w:pStyle w:val="56"/>
        <w:ind w:firstLine="420"/>
      </w:pPr>
    </w:p>
    <w:p>
      <w:pPr>
        <w:pStyle w:val="56"/>
        <w:ind w:firstLine="420"/>
      </w:pPr>
    </w:p>
    <w:p>
      <w:pPr>
        <w:pStyle w:val="56"/>
        <w:ind w:firstLine="420"/>
      </w:pPr>
    </w:p>
    <w:p>
      <w:pPr>
        <w:pStyle w:val="56"/>
        <w:ind w:firstLine="420"/>
      </w:pPr>
    </w:p>
    <w:p>
      <w:pPr>
        <w:pStyle w:val="56"/>
        <w:ind w:firstLine="420"/>
        <w:sectPr>
          <w:pgSz w:w="11906" w:h="16838"/>
          <w:pgMar w:top="1928" w:right="1134" w:bottom="1134" w:left="1134" w:header="1418" w:footer="1134" w:gutter="284"/>
          <w:pgNumType w:start="1"/>
          <w:cols w:space="425" w:num="1"/>
          <w:formProt w:val="0"/>
          <w:docGrid w:linePitch="312" w:charSpace="0"/>
        </w:sectPr>
      </w:pPr>
    </w:p>
    <w:bookmarkEnd w:id="22"/>
    <w:p>
      <w:pPr>
        <w:pStyle w:val="198"/>
        <w:rPr>
          <w:vanish w:val="0"/>
        </w:rPr>
      </w:pPr>
      <w:bookmarkStart w:id="122" w:name="BookMark5"/>
    </w:p>
    <w:p>
      <w:pPr>
        <w:pStyle w:val="199"/>
        <w:rPr>
          <w:vanish w:val="0"/>
        </w:rPr>
      </w:pPr>
    </w:p>
    <w:p>
      <w:pPr>
        <w:pStyle w:val="76"/>
        <w:spacing w:after="120"/>
      </w:pPr>
      <w:r>
        <w:br w:type="textWrapping"/>
      </w:r>
      <w:bookmarkStart w:id="123" w:name="_Toc147914515"/>
      <w:bookmarkStart w:id="124" w:name="_Toc147921958"/>
      <w:r>
        <w:rPr>
          <w:rFonts w:hint="eastAsia"/>
        </w:rPr>
        <w:t>（资料性）</w:t>
      </w:r>
      <w:r>
        <w:br w:type="textWrapping"/>
      </w:r>
      <w:r>
        <w:rPr>
          <w:rFonts w:hint="eastAsia"/>
        </w:rPr>
        <w:t>患者用药咨询记录</w:t>
      </w:r>
      <w:bookmarkEnd w:id="123"/>
      <w:bookmarkEnd w:id="124"/>
    </w:p>
    <w:p>
      <w:pPr>
        <w:pStyle w:val="56"/>
        <w:ind w:firstLine="420"/>
        <w:rPr>
          <w:rFonts w:hint="eastAsia"/>
        </w:rPr>
      </w:pPr>
      <w:r>
        <w:rPr>
          <w:rFonts w:hint="eastAsia"/>
        </w:rPr>
        <w:t>患者用药咨询记录见表A</w:t>
      </w:r>
      <w:r>
        <w:t>.1</w:t>
      </w:r>
    </w:p>
    <w:p>
      <w:pPr>
        <w:pStyle w:val="77"/>
        <w:spacing w:before="120" w:after="120"/>
        <w:rPr>
          <w:rFonts w:hint="eastAsia"/>
        </w:rPr>
      </w:pPr>
      <w:r>
        <w:rPr>
          <w:rFonts w:hint="eastAsia"/>
        </w:rPr>
        <w:t>患者用药咨询记录</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453"/>
        <w:gridCol w:w="1101"/>
        <w:gridCol w:w="965"/>
        <w:gridCol w:w="137"/>
        <w:gridCol w:w="1154"/>
        <w:gridCol w:w="151"/>
        <w:gridCol w:w="930"/>
        <w:gridCol w:w="1101"/>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b/>
                <w:bCs/>
                <w:szCs w:val="21"/>
              </w:rPr>
            </w:pPr>
            <w:r>
              <w:rPr>
                <w:rFonts w:hint="eastAsia"/>
                <w:b/>
                <w:bCs/>
                <w:szCs w:val="21"/>
              </w:rPr>
              <w:t>咨询者姓名</w:t>
            </w:r>
          </w:p>
        </w:tc>
        <w:tc>
          <w:tcPr>
            <w:tcW w:w="1453" w:type="dxa"/>
            <w:vAlign w:val="center"/>
          </w:tcPr>
          <w:p>
            <w:pPr>
              <w:pStyle w:val="56"/>
              <w:ind w:firstLine="0" w:firstLineChars="0"/>
              <w:rPr>
                <w:rFonts w:hint="eastAsia"/>
                <w:b/>
                <w:bCs/>
                <w:szCs w:val="21"/>
              </w:rPr>
            </w:pPr>
          </w:p>
        </w:tc>
        <w:tc>
          <w:tcPr>
            <w:tcW w:w="1101" w:type="dxa"/>
            <w:vAlign w:val="center"/>
          </w:tcPr>
          <w:p>
            <w:pPr>
              <w:pStyle w:val="56"/>
              <w:ind w:firstLine="0" w:firstLineChars="0"/>
              <w:rPr>
                <w:rFonts w:hint="eastAsia"/>
                <w:b/>
                <w:bCs/>
                <w:szCs w:val="21"/>
              </w:rPr>
            </w:pPr>
            <w:r>
              <w:rPr>
                <w:rFonts w:hint="eastAsia"/>
                <w:b/>
                <w:bCs/>
                <w:szCs w:val="21"/>
              </w:rPr>
              <w:t>联系电话</w:t>
            </w:r>
          </w:p>
        </w:tc>
        <w:tc>
          <w:tcPr>
            <w:tcW w:w="1102" w:type="dxa"/>
            <w:gridSpan w:val="2"/>
            <w:vAlign w:val="center"/>
          </w:tcPr>
          <w:p>
            <w:pPr>
              <w:pStyle w:val="56"/>
              <w:ind w:firstLine="0" w:firstLineChars="0"/>
              <w:rPr>
                <w:rFonts w:hint="eastAsia"/>
                <w:b/>
                <w:bCs/>
                <w:szCs w:val="21"/>
              </w:rPr>
            </w:pPr>
          </w:p>
        </w:tc>
        <w:tc>
          <w:tcPr>
            <w:tcW w:w="1154" w:type="dxa"/>
            <w:vAlign w:val="center"/>
          </w:tcPr>
          <w:p>
            <w:pPr>
              <w:pStyle w:val="56"/>
              <w:ind w:firstLine="0" w:firstLineChars="0"/>
              <w:jc w:val="center"/>
              <w:rPr>
                <w:rFonts w:hint="eastAsia"/>
                <w:b/>
                <w:bCs/>
                <w:szCs w:val="21"/>
              </w:rPr>
            </w:pPr>
            <w:r>
              <w:rPr>
                <w:rFonts w:hint="eastAsia" w:hAnsi="宋体" w:cs="宋体"/>
                <w:b/>
                <w:bCs/>
                <w:color w:val="000000"/>
                <w:szCs w:val="21"/>
                <w:lang w:bidi="ar"/>
              </w:rPr>
              <w:t>年龄</w:t>
            </w:r>
          </w:p>
        </w:tc>
        <w:tc>
          <w:tcPr>
            <w:tcW w:w="1081" w:type="dxa"/>
            <w:gridSpan w:val="2"/>
            <w:vAlign w:val="center"/>
          </w:tcPr>
          <w:p>
            <w:pPr>
              <w:pStyle w:val="56"/>
              <w:ind w:firstLine="0" w:firstLineChars="0"/>
              <w:rPr>
                <w:rFonts w:hint="eastAsia"/>
                <w:b/>
                <w:bCs/>
                <w:szCs w:val="21"/>
              </w:rPr>
            </w:pPr>
          </w:p>
        </w:tc>
        <w:tc>
          <w:tcPr>
            <w:tcW w:w="1101" w:type="dxa"/>
            <w:vAlign w:val="center"/>
          </w:tcPr>
          <w:p>
            <w:pPr>
              <w:pStyle w:val="56"/>
              <w:ind w:firstLine="0" w:firstLineChars="0"/>
              <w:rPr>
                <w:rFonts w:hint="eastAsia"/>
                <w:b/>
                <w:bCs/>
                <w:szCs w:val="21"/>
              </w:rPr>
            </w:pPr>
            <w:r>
              <w:rPr>
                <w:rFonts w:hint="eastAsia" w:hAnsi="宋体" w:cs="宋体"/>
                <w:b/>
                <w:bCs/>
                <w:color w:val="000000"/>
                <w:szCs w:val="21"/>
                <w:lang w:bidi="ar"/>
              </w:rPr>
              <w:t>咨询日期</w:t>
            </w:r>
          </w:p>
        </w:tc>
        <w:tc>
          <w:tcPr>
            <w:tcW w:w="1081" w:type="dxa"/>
            <w:vAlign w:val="center"/>
          </w:tcPr>
          <w:p>
            <w:pPr>
              <w:pStyle w:val="56"/>
              <w:ind w:firstLine="0" w:firstLineChars="0"/>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咨询者</w:t>
            </w:r>
          </w:p>
        </w:tc>
        <w:tc>
          <w:tcPr>
            <w:tcW w:w="8073" w:type="dxa"/>
            <w:gridSpan w:val="9"/>
            <w:vAlign w:val="center"/>
          </w:tcPr>
          <w:p>
            <w:pPr>
              <w:pStyle w:val="56"/>
              <w:ind w:firstLine="0" w:firstLineChars="0"/>
              <w:rPr>
                <w:rFonts w:hint="eastAsia"/>
              </w:rPr>
            </w:pPr>
            <w:r>
              <w:rPr>
                <w:rStyle w:val="231"/>
                <w:rFonts w:hint="default"/>
                <w:sz w:val="21"/>
                <w:szCs w:val="21"/>
                <w:lang w:bidi="ar"/>
              </w:rPr>
              <w:t>□患者</w:t>
            </w:r>
            <w:r>
              <w:rPr>
                <w:rStyle w:val="231"/>
                <w:sz w:val="21"/>
                <w:szCs w:val="21"/>
                <w:lang w:bidi="ar"/>
              </w:rPr>
              <w:t>本人</w:t>
            </w:r>
            <w:r>
              <w:rPr>
                <w:rStyle w:val="231"/>
                <w:lang w:bidi="ar"/>
              </w:rPr>
              <w:t xml:space="preserve">  </w:t>
            </w:r>
            <w:r>
              <w:rPr>
                <w:rStyle w:val="231"/>
                <w:rFonts w:hint="default"/>
                <w:sz w:val="21"/>
                <w:szCs w:val="21"/>
                <w:lang w:bidi="ar"/>
              </w:rPr>
              <w:t>□</w:t>
            </w:r>
            <w:r>
              <w:rPr>
                <w:rStyle w:val="231"/>
                <w:sz w:val="21"/>
                <w:szCs w:val="21"/>
              </w:rPr>
              <w:t>患者</w:t>
            </w:r>
            <w:r>
              <w:rPr>
                <w:rStyle w:val="231"/>
                <w:rFonts w:hint="default"/>
                <w:sz w:val="21"/>
                <w:szCs w:val="21"/>
                <w:lang w:bidi="ar"/>
              </w:rPr>
              <w:t>家属</w:t>
            </w:r>
            <w:r>
              <w:rPr>
                <w:rStyle w:val="231"/>
                <w:lang w:bidi="ar"/>
              </w:rPr>
              <w:t xml:space="preserve">  </w:t>
            </w:r>
            <w:r>
              <w:rPr>
                <w:rStyle w:val="231"/>
                <w:rFonts w:hint="default"/>
                <w:sz w:val="21"/>
                <w:szCs w:val="21"/>
                <w:lang w:bidi="ar"/>
              </w:rPr>
              <w:t>□照护者</w:t>
            </w:r>
            <w:r>
              <w:rPr>
                <w:rStyle w:val="231"/>
                <w:lang w:bidi="ar"/>
              </w:rPr>
              <w:t xml:space="preserve"> </w:t>
            </w:r>
            <w:r>
              <w:rPr>
                <w:rStyle w:val="231"/>
                <w:rFonts w:hint="default"/>
                <w:sz w:val="21"/>
                <w:szCs w:val="21"/>
                <w:lang w:bidi="ar"/>
              </w:rPr>
              <w:t>□</w:t>
            </w:r>
            <w:r>
              <w:rPr>
                <w:rStyle w:val="231"/>
                <w:sz w:val="21"/>
                <w:szCs w:val="21"/>
                <w:lang w:bidi="ar"/>
              </w:rPr>
              <w:t>医护人员</w:t>
            </w:r>
            <w:r>
              <w:rPr>
                <w:rStyle w:val="231"/>
                <w:lang w:bidi="ar"/>
              </w:rPr>
              <w:t xml:space="preserve"> </w:t>
            </w:r>
            <w:r>
              <w:rPr>
                <w:rStyle w:val="231"/>
                <w:rFonts w:hint="default"/>
                <w:sz w:val="21"/>
                <w:szCs w:val="21"/>
                <w:lang w:bidi="ar"/>
              </w:rPr>
              <w:t>□公众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咨询方式</w:t>
            </w:r>
          </w:p>
        </w:tc>
        <w:tc>
          <w:tcPr>
            <w:tcW w:w="8073" w:type="dxa"/>
            <w:gridSpan w:val="9"/>
            <w:vAlign w:val="center"/>
          </w:tcPr>
          <w:p>
            <w:pPr>
              <w:pStyle w:val="56"/>
              <w:ind w:firstLine="0" w:firstLineChars="0"/>
              <w:rPr>
                <w:rFonts w:hint="eastAsia"/>
              </w:rPr>
            </w:pPr>
            <w:r>
              <w:rPr>
                <w:rStyle w:val="231"/>
                <w:rFonts w:hint="default"/>
                <w:sz w:val="21"/>
                <w:szCs w:val="21"/>
                <w:lang w:bidi="ar"/>
              </w:rPr>
              <w:t>□现场咨询</w:t>
            </w:r>
            <w:r>
              <w:rPr>
                <w:rStyle w:val="232"/>
                <w:lang w:bidi="ar"/>
              </w:rPr>
              <w:t xml:space="preserve"> </w:t>
            </w:r>
            <w:r>
              <w:rPr>
                <w:rStyle w:val="231"/>
                <w:rFonts w:hint="default"/>
                <w:sz w:val="21"/>
                <w:szCs w:val="21"/>
                <w:lang w:bidi="ar"/>
              </w:rPr>
              <w:t>□微信咨询</w:t>
            </w:r>
            <w:r>
              <w:rPr>
                <w:rStyle w:val="232"/>
                <w:lang w:bidi="ar"/>
              </w:rPr>
              <w:t xml:space="preserve"> </w:t>
            </w:r>
            <w:r>
              <w:rPr>
                <w:rStyle w:val="231"/>
                <w:rFonts w:hint="default"/>
                <w:sz w:val="21"/>
                <w:szCs w:val="21"/>
                <w:lang w:bidi="ar"/>
              </w:rPr>
              <w:t>□电话咨询</w:t>
            </w:r>
            <w:r>
              <w:rPr>
                <w:rStyle w:val="232"/>
                <w:lang w:bidi="ar"/>
              </w:rPr>
              <w:t xml:space="preserve"> </w:t>
            </w:r>
            <w:r>
              <w:rPr>
                <w:rStyle w:val="231"/>
                <w:rFonts w:hint="default"/>
                <w:sz w:val="21"/>
                <w:szCs w:val="21"/>
                <w:lang w:bidi="ar"/>
              </w:rPr>
              <w:t>□邮件咨询</w:t>
            </w:r>
            <w:r>
              <w:rPr>
                <w:rStyle w:val="232"/>
                <w:lang w:bidi="ar"/>
              </w:rPr>
              <w:t xml:space="preserve"> </w:t>
            </w:r>
            <w:r>
              <w:rPr>
                <w:rStyle w:val="231"/>
                <w:rFonts w:hint="default"/>
                <w:sz w:val="21"/>
                <w:szCs w:val="21"/>
                <w:lang w:bidi="ar"/>
              </w:rPr>
              <w:t>□其它方式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Merge w:val="restart"/>
            <w:vAlign w:val="center"/>
          </w:tcPr>
          <w:p>
            <w:pPr>
              <w:pStyle w:val="56"/>
              <w:ind w:firstLine="0" w:firstLineChars="0"/>
              <w:rPr>
                <w:rFonts w:hint="eastAsia"/>
              </w:rPr>
            </w:pPr>
            <w:r>
              <w:rPr>
                <w:rFonts w:hint="eastAsia"/>
                <w:b/>
                <w:bCs/>
                <w:szCs w:val="21"/>
              </w:rPr>
              <w:t>患者情况</w:t>
            </w:r>
          </w:p>
        </w:tc>
        <w:tc>
          <w:tcPr>
            <w:tcW w:w="1453" w:type="dxa"/>
            <w:vAlign w:val="center"/>
          </w:tcPr>
          <w:p>
            <w:pPr>
              <w:pStyle w:val="56"/>
              <w:ind w:firstLine="0" w:firstLineChars="0"/>
              <w:rPr>
                <w:rFonts w:hint="eastAsia"/>
              </w:rPr>
            </w:pPr>
            <w:r>
              <w:rPr>
                <w:rStyle w:val="231"/>
                <w:sz w:val="21"/>
                <w:szCs w:val="21"/>
                <w:lang w:bidi="ar"/>
              </w:rPr>
              <w:t>患者姓名</w:t>
            </w:r>
          </w:p>
        </w:tc>
        <w:tc>
          <w:tcPr>
            <w:tcW w:w="1101" w:type="dxa"/>
            <w:vAlign w:val="center"/>
          </w:tcPr>
          <w:p>
            <w:pPr>
              <w:pStyle w:val="56"/>
              <w:ind w:firstLine="0" w:firstLineChars="0"/>
              <w:rPr>
                <w:rFonts w:hint="eastAsia"/>
              </w:rPr>
            </w:pPr>
          </w:p>
        </w:tc>
        <w:tc>
          <w:tcPr>
            <w:tcW w:w="1102" w:type="dxa"/>
            <w:gridSpan w:val="2"/>
            <w:vAlign w:val="center"/>
          </w:tcPr>
          <w:p>
            <w:pPr>
              <w:pStyle w:val="56"/>
              <w:ind w:firstLine="0" w:firstLineChars="0"/>
              <w:rPr>
                <w:rFonts w:hint="eastAsia"/>
              </w:rPr>
            </w:pPr>
            <w:r>
              <w:rPr>
                <w:rStyle w:val="231"/>
                <w:sz w:val="21"/>
                <w:szCs w:val="21"/>
              </w:rPr>
              <w:t>性别</w:t>
            </w:r>
          </w:p>
        </w:tc>
        <w:tc>
          <w:tcPr>
            <w:tcW w:w="2235" w:type="dxa"/>
            <w:gridSpan w:val="3"/>
            <w:vAlign w:val="center"/>
          </w:tcPr>
          <w:p>
            <w:pPr>
              <w:pStyle w:val="56"/>
              <w:ind w:firstLine="0" w:firstLineChars="0"/>
              <w:rPr>
                <w:rFonts w:hint="eastAsia"/>
              </w:rPr>
            </w:pPr>
            <w:r>
              <w:rPr>
                <w:rStyle w:val="231"/>
                <w:rFonts w:hint="default"/>
                <w:sz w:val="21"/>
                <w:szCs w:val="21"/>
                <w:lang w:bidi="ar"/>
              </w:rPr>
              <w:t>□</w:t>
            </w:r>
            <w:r>
              <w:rPr>
                <w:rStyle w:val="231"/>
                <w:rFonts w:hint="default"/>
                <w:sz w:val="21"/>
                <w:szCs w:val="21"/>
              </w:rPr>
              <w:t>男</w:t>
            </w:r>
            <w:r>
              <w:rPr>
                <w:rStyle w:val="230"/>
                <w:rFonts w:hint="default"/>
                <w:lang w:bidi="ar"/>
              </w:rPr>
              <w:t xml:space="preserve">  </w:t>
            </w:r>
            <w:r>
              <w:rPr>
                <w:rStyle w:val="231"/>
                <w:rFonts w:hint="default"/>
                <w:sz w:val="21"/>
                <w:szCs w:val="21"/>
                <w:lang w:bidi="ar"/>
              </w:rPr>
              <w:t>□</w:t>
            </w:r>
            <w:r>
              <w:rPr>
                <w:rStyle w:val="231"/>
                <w:rFonts w:hint="default"/>
                <w:sz w:val="21"/>
                <w:szCs w:val="21"/>
              </w:rPr>
              <w:t>女</w:t>
            </w:r>
          </w:p>
        </w:tc>
        <w:tc>
          <w:tcPr>
            <w:tcW w:w="1101" w:type="dxa"/>
            <w:vAlign w:val="center"/>
          </w:tcPr>
          <w:p>
            <w:pPr>
              <w:pStyle w:val="56"/>
              <w:ind w:firstLine="0" w:firstLineChars="0"/>
              <w:rPr>
                <w:rFonts w:hint="eastAsia"/>
              </w:rPr>
            </w:pPr>
            <w:r>
              <w:rPr>
                <w:rStyle w:val="231"/>
                <w:sz w:val="21"/>
                <w:szCs w:val="21"/>
              </w:rPr>
              <w:t>年龄</w:t>
            </w:r>
          </w:p>
        </w:tc>
        <w:tc>
          <w:tcPr>
            <w:tcW w:w="1081" w:type="dxa"/>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Merge w:val="continue"/>
            <w:vAlign w:val="center"/>
          </w:tcPr>
          <w:p>
            <w:pPr>
              <w:pStyle w:val="56"/>
              <w:ind w:firstLine="0" w:firstLineChars="0"/>
              <w:rPr>
                <w:rFonts w:hint="eastAsia"/>
              </w:rPr>
            </w:pPr>
          </w:p>
        </w:tc>
        <w:tc>
          <w:tcPr>
            <w:tcW w:w="1453" w:type="dxa"/>
            <w:vAlign w:val="center"/>
          </w:tcPr>
          <w:p>
            <w:pPr>
              <w:pStyle w:val="56"/>
              <w:ind w:firstLine="0" w:firstLineChars="0"/>
              <w:rPr>
                <w:rFonts w:hint="eastAsia"/>
              </w:rPr>
            </w:pPr>
            <w:r>
              <w:rPr>
                <w:rStyle w:val="231"/>
                <w:sz w:val="21"/>
                <w:szCs w:val="21"/>
                <w:lang w:bidi="ar"/>
              </w:rPr>
              <w:t>情况描述：</w:t>
            </w:r>
          </w:p>
        </w:tc>
        <w:tc>
          <w:tcPr>
            <w:tcW w:w="6620" w:type="dxa"/>
            <w:gridSpan w:val="8"/>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咨询问题</w:t>
            </w:r>
          </w:p>
        </w:tc>
        <w:tc>
          <w:tcPr>
            <w:tcW w:w="8073" w:type="dxa"/>
            <w:gridSpan w:val="9"/>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答复内容</w:t>
            </w:r>
          </w:p>
        </w:tc>
        <w:tc>
          <w:tcPr>
            <w:tcW w:w="8073" w:type="dxa"/>
            <w:gridSpan w:val="9"/>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参考依据</w:t>
            </w:r>
          </w:p>
        </w:tc>
        <w:tc>
          <w:tcPr>
            <w:tcW w:w="8073" w:type="dxa"/>
            <w:gridSpan w:val="9"/>
            <w:vAlign w:val="center"/>
          </w:tcPr>
          <w:p>
            <w:pPr>
              <w:pStyle w:val="56"/>
              <w:ind w:firstLine="0" w:firstLineChars="0"/>
              <w:rPr>
                <w:rFonts w:hint="eastAsia"/>
              </w:rPr>
            </w:pPr>
            <w:r>
              <w:rPr>
                <w:rStyle w:val="231"/>
                <w:rFonts w:hint="default"/>
                <w:sz w:val="21"/>
                <w:szCs w:val="21"/>
                <w:lang w:bidi="ar"/>
              </w:rPr>
              <w:t>□药品说明书</w:t>
            </w:r>
            <w:r>
              <w:rPr>
                <w:rStyle w:val="232"/>
                <w:szCs w:val="21"/>
                <w:lang w:bidi="ar"/>
              </w:rPr>
              <w:t xml:space="preserve"> </w:t>
            </w:r>
            <w:r>
              <w:rPr>
                <w:rStyle w:val="231"/>
                <w:rFonts w:hint="default"/>
                <w:sz w:val="21"/>
                <w:szCs w:val="21"/>
                <w:lang w:bidi="ar"/>
              </w:rPr>
              <w:t>□医药工具书</w:t>
            </w:r>
            <w:r>
              <w:rPr>
                <w:rStyle w:val="231"/>
                <w:sz w:val="21"/>
                <w:szCs w:val="21"/>
                <w:lang w:bidi="ar"/>
              </w:rPr>
              <w:t xml:space="preserve"> </w:t>
            </w:r>
            <w:r>
              <w:rPr>
                <w:rStyle w:val="232"/>
                <w:szCs w:val="21"/>
                <w:lang w:bidi="ar"/>
              </w:rPr>
              <w:t xml:space="preserve"> </w:t>
            </w:r>
            <w:r>
              <w:rPr>
                <w:rStyle w:val="231"/>
                <w:rFonts w:hint="default"/>
                <w:sz w:val="21"/>
                <w:szCs w:val="21"/>
                <w:lang w:bidi="ar"/>
              </w:rPr>
              <w:t>□规范、指南、共识</w:t>
            </w:r>
            <w:r>
              <w:rPr>
                <w:rStyle w:val="231"/>
                <w:sz w:val="21"/>
                <w:szCs w:val="21"/>
                <w:lang w:bidi="ar"/>
              </w:rPr>
              <w:t xml:space="preserve">  </w:t>
            </w:r>
            <w:r>
              <w:rPr>
                <w:rStyle w:val="231"/>
                <w:rFonts w:hint="default"/>
                <w:sz w:val="21"/>
                <w:szCs w:val="21"/>
                <w:lang w:bidi="ar"/>
              </w:rPr>
              <w:t>□医药软件、数据库</w:t>
            </w:r>
            <w:r>
              <w:rPr>
                <w:rStyle w:val="232"/>
                <w:szCs w:val="21"/>
                <w:lang w:bidi="ar"/>
              </w:rPr>
              <w:t xml:space="preserve"> </w:t>
            </w:r>
            <w:r>
              <w:rPr>
                <w:rStyle w:val="231"/>
                <w:rFonts w:hint="default"/>
                <w:sz w:val="21"/>
                <w:szCs w:val="21"/>
                <w:lang w:bidi="ar"/>
              </w:rPr>
              <w:t>□网络资源</w:t>
            </w:r>
            <w:r>
              <w:rPr>
                <w:rStyle w:val="237"/>
                <w:lang w:bidi="ar"/>
              </w:rPr>
              <w:t xml:space="preserve">    </w:t>
            </w:r>
            <w:r>
              <w:rPr>
                <w:rStyle w:val="232"/>
                <w:szCs w:val="21"/>
                <w:lang w:bidi="ar"/>
              </w:rPr>
              <w:t xml:space="preserve"> </w:t>
            </w:r>
            <w:r>
              <w:rPr>
                <w:rStyle w:val="231"/>
                <w:rFonts w:hint="default"/>
                <w:sz w:val="21"/>
                <w:szCs w:val="21"/>
                <w:lang w:bidi="ar"/>
              </w:rPr>
              <w:t>□其它</w:t>
            </w:r>
            <w:r>
              <w:rPr>
                <w:rStyle w:val="237"/>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rPr>
            </w:pPr>
            <w:r>
              <w:rPr>
                <w:rFonts w:hint="eastAsia"/>
                <w:b/>
                <w:bCs/>
                <w:szCs w:val="21"/>
              </w:rPr>
              <w:t>问题分类</w:t>
            </w:r>
          </w:p>
        </w:tc>
        <w:tc>
          <w:tcPr>
            <w:tcW w:w="8073" w:type="dxa"/>
            <w:gridSpan w:val="9"/>
            <w:vAlign w:val="center"/>
          </w:tcPr>
          <w:p>
            <w:pPr>
              <w:widowControl/>
              <w:spacing w:line="300" w:lineRule="exact"/>
              <w:jc w:val="left"/>
              <w:textAlignment w:val="center"/>
              <w:rPr>
                <w:rFonts w:hint="eastAsia" w:ascii="Wingdings" w:hAnsi="Wingdings" w:cs="Wingdings"/>
                <w:color w:val="000000"/>
                <w:sz w:val="24"/>
                <w:szCs w:val="24"/>
                <w:lang w:bidi="ar"/>
              </w:rPr>
            </w:pPr>
            <w:r>
              <w:rPr>
                <w:rStyle w:val="231"/>
                <w:rFonts w:hint="default"/>
                <w:sz w:val="21"/>
                <w:szCs w:val="21"/>
                <w:lang w:bidi="ar"/>
              </w:rPr>
              <w:t>□</w:t>
            </w:r>
            <w:r>
              <w:rPr>
                <w:rFonts w:hint="eastAsia" w:ascii="宋体" w:hAnsi="宋体" w:cs="宋体"/>
                <w:color w:val="000000"/>
                <w:kern w:val="0"/>
                <w:lang w:bidi="ar"/>
              </w:rPr>
              <w:t>适应证</w:t>
            </w:r>
            <w:r>
              <w:rPr>
                <w:rStyle w:val="232"/>
                <w:lang w:bidi="ar"/>
              </w:rPr>
              <w:t xml:space="preserve"> </w:t>
            </w:r>
            <w:r>
              <w:rPr>
                <w:rStyle w:val="231"/>
                <w:rFonts w:hint="default"/>
                <w:sz w:val="21"/>
                <w:szCs w:val="21"/>
                <w:lang w:bidi="ar"/>
              </w:rPr>
              <w:t>□使用方法</w:t>
            </w:r>
            <w:r>
              <w:rPr>
                <w:rStyle w:val="232"/>
                <w:lang w:bidi="ar"/>
              </w:rPr>
              <w:t xml:space="preserve"> </w:t>
            </w:r>
            <w:r>
              <w:rPr>
                <w:rStyle w:val="231"/>
                <w:rFonts w:hint="default"/>
                <w:sz w:val="21"/>
                <w:szCs w:val="21"/>
                <w:lang w:bidi="ar"/>
              </w:rPr>
              <w:t>□使用时间与漏用处理</w:t>
            </w:r>
            <w:r>
              <w:rPr>
                <w:rStyle w:val="232"/>
                <w:lang w:bidi="ar"/>
              </w:rPr>
              <w:t xml:space="preserve"> </w:t>
            </w:r>
            <w:r>
              <w:rPr>
                <w:rStyle w:val="231"/>
                <w:rFonts w:hint="default"/>
                <w:sz w:val="21"/>
                <w:szCs w:val="21"/>
                <w:lang w:bidi="ar"/>
              </w:rPr>
              <w:t>□药品不良反应</w:t>
            </w:r>
            <w:r>
              <w:rPr>
                <w:rStyle w:val="232"/>
                <w:lang w:bidi="ar"/>
              </w:rPr>
              <w:t xml:space="preserve"> </w:t>
            </w:r>
            <w:r>
              <w:rPr>
                <w:rStyle w:val="231"/>
                <w:rFonts w:hint="default"/>
                <w:sz w:val="21"/>
                <w:szCs w:val="21"/>
                <w:lang w:bidi="ar"/>
              </w:rPr>
              <w:t>□注意事项与禁忌</w:t>
            </w:r>
            <w:r>
              <w:rPr>
                <w:rStyle w:val="232"/>
                <w:lang w:bidi="ar"/>
              </w:rPr>
              <w:t xml:space="preserve"> </w:t>
            </w:r>
            <w:r>
              <w:rPr>
                <w:rStyle w:val="231"/>
                <w:rFonts w:hint="default"/>
                <w:sz w:val="21"/>
                <w:szCs w:val="21"/>
                <w:lang w:bidi="ar"/>
              </w:rPr>
              <w:t>□联合用药</w:t>
            </w:r>
            <w:r>
              <w:rPr>
                <w:rStyle w:val="232"/>
                <w:lang w:bidi="ar"/>
              </w:rPr>
              <w:t xml:space="preserve"> </w:t>
            </w:r>
            <w:r>
              <w:rPr>
                <w:rStyle w:val="231"/>
                <w:rFonts w:hint="default"/>
                <w:sz w:val="21"/>
                <w:szCs w:val="21"/>
                <w:lang w:bidi="ar"/>
              </w:rPr>
              <w:t>□药/药、药/食相互作用</w:t>
            </w:r>
            <w:r>
              <w:rPr>
                <w:rStyle w:val="232"/>
                <w:lang w:bidi="ar"/>
              </w:rPr>
              <w:t xml:space="preserve"> </w:t>
            </w:r>
            <w:r>
              <w:rPr>
                <w:rStyle w:val="231"/>
                <w:rFonts w:hint="default"/>
                <w:sz w:val="21"/>
                <w:szCs w:val="21"/>
                <w:lang w:bidi="ar"/>
              </w:rPr>
              <w:t>□说明书解读</w:t>
            </w:r>
            <w:r>
              <w:rPr>
                <w:rStyle w:val="232"/>
                <w:lang w:bidi="ar"/>
              </w:rPr>
              <w:t xml:space="preserve"> </w:t>
            </w:r>
            <w:r>
              <w:rPr>
                <w:rStyle w:val="231"/>
                <w:rFonts w:hint="default"/>
                <w:sz w:val="21"/>
                <w:szCs w:val="21"/>
                <w:lang w:bidi="ar"/>
              </w:rPr>
              <w:t>□有效期与储存</w:t>
            </w:r>
            <w:r>
              <w:rPr>
                <w:rStyle w:val="232"/>
                <w:lang w:bidi="ar"/>
              </w:rPr>
              <w:t xml:space="preserve"> </w:t>
            </w:r>
            <w:r>
              <w:rPr>
                <w:rStyle w:val="231"/>
                <w:rFonts w:hint="default"/>
                <w:sz w:val="21"/>
                <w:szCs w:val="21"/>
                <w:lang w:bidi="ar"/>
              </w:rPr>
              <w:t>□健康生活提示</w:t>
            </w:r>
            <w:r>
              <w:rPr>
                <w:rStyle w:val="232"/>
                <w:lang w:bidi="ar"/>
              </w:rPr>
              <w:t xml:space="preserve"> </w:t>
            </w:r>
            <w:r>
              <w:rPr>
                <w:rStyle w:val="231"/>
                <w:rFonts w:hint="default"/>
                <w:sz w:val="21"/>
                <w:szCs w:val="21"/>
                <w:lang w:bidi="ar"/>
              </w:rPr>
              <w:t>□福利政策</w:t>
            </w:r>
            <w:r>
              <w:rPr>
                <w:rStyle w:val="232"/>
                <w:lang w:bidi="ar"/>
              </w:rPr>
              <w:t xml:space="preserve"> </w:t>
            </w:r>
            <w:r>
              <w:rPr>
                <w:rStyle w:val="231"/>
                <w:rFonts w:hint="default"/>
                <w:sz w:val="21"/>
                <w:szCs w:val="21"/>
                <w:lang w:bidi="ar"/>
              </w:rPr>
              <w:t>□治疗方案解读 □报告解读</w:t>
            </w:r>
            <w:r>
              <w:rPr>
                <w:rStyle w:val="232"/>
                <w:lang w:bidi="ar"/>
              </w:rPr>
              <w:t xml:space="preserve"> </w:t>
            </w:r>
            <w:r>
              <w:rPr>
                <w:rStyle w:val="231"/>
                <w:rFonts w:hint="default"/>
                <w:sz w:val="21"/>
                <w:szCs w:val="21"/>
                <w:lang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b/>
                <w:bCs/>
                <w:szCs w:val="21"/>
              </w:rPr>
            </w:pPr>
            <w:r>
              <w:rPr>
                <w:rFonts w:hint="eastAsia"/>
                <w:b/>
                <w:bCs/>
                <w:szCs w:val="21"/>
              </w:rPr>
              <w:t>咨询者反馈</w:t>
            </w:r>
          </w:p>
        </w:tc>
        <w:tc>
          <w:tcPr>
            <w:tcW w:w="8073" w:type="dxa"/>
            <w:gridSpan w:val="9"/>
            <w:vAlign w:val="center"/>
          </w:tcPr>
          <w:p>
            <w:pPr>
              <w:widowControl/>
              <w:spacing w:line="300" w:lineRule="exact"/>
              <w:jc w:val="left"/>
              <w:textAlignment w:val="center"/>
              <w:rPr>
                <w:rFonts w:hint="eastAsia" w:ascii="宋体" w:hAnsi="宋体" w:cs="宋体"/>
                <w:color w:val="000000"/>
                <w:kern w:val="0"/>
                <w:lang w:bidi="ar"/>
              </w:rPr>
            </w:pPr>
            <w:r>
              <w:rPr>
                <w:rStyle w:val="231"/>
                <w:sz w:val="21"/>
                <w:szCs w:val="21"/>
              </w:rPr>
              <w:t>咨询者对回复内容是否理解</w:t>
            </w:r>
            <w:r>
              <w:rPr>
                <w:rStyle w:val="232"/>
                <w:lang w:bidi="ar"/>
              </w:rPr>
              <w:t xml:space="preserve"> </w:t>
            </w:r>
            <w:r>
              <w:rPr>
                <w:rStyle w:val="231"/>
                <w:rFonts w:hint="default"/>
                <w:sz w:val="21"/>
                <w:szCs w:val="21"/>
                <w:lang w:bidi="ar"/>
              </w:rPr>
              <w:t>□是</w:t>
            </w:r>
            <w:r>
              <w:rPr>
                <w:rStyle w:val="232"/>
                <w:lang w:bidi="ar"/>
              </w:rPr>
              <w:t xml:space="preserve"> </w:t>
            </w:r>
            <w:r>
              <w:rPr>
                <w:rStyle w:val="231"/>
                <w:rFonts w:hint="default"/>
                <w:sz w:val="21"/>
                <w:szCs w:val="21"/>
                <w:lang w:bidi="ar"/>
              </w:rPr>
              <w:t>□否</w:t>
            </w:r>
            <w:r>
              <w:rPr>
                <w:rStyle w:val="232"/>
                <w:lang w:bidi="ar"/>
              </w:rPr>
              <w:t xml:space="preserve"> </w:t>
            </w:r>
            <w:r>
              <w:rPr>
                <w:rStyle w:val="232"/>
                <w:lang w:bidi="ar"/>
              </w:rPr>
              <w:br w:type="textWrapping"/>
            </w:r>
            <w:r>
              <w:rPr>
                <w:rStyle w:val="231"/>
                <w:rFonts w:hint="default"/>
                <w:sz w:val="21"/>
                <w:szCs w:val="21"/>
                <w:lang w:bidi="ar"/>
              </w:rPr>
              <w:t>咨询者是否能复述重点内容</w:t>
            </w:r>
            <w:r>
              <w:rPr>
                <w:rStyle w:val="232"/>
                <w:lang w:bidi="ar"/>
              </w:rPr>
              <w:t xml:space="preserve"> </w:t>
            </w:r>
            <w:r>
              <w:rPr>
                <w:rStyle w:val="231"/>
                <w:rFonts w:hint="default"/>
                <w:sz w:val="21"/>
                <w:szCs w:val="21"/>
                <w:lang w:bidi="ar"/>
              </w:rPr>
              <w:t>□是</w:t>
            </w:r>
            <w:r>
              <w:rPr>
                <w:rStyle w:val="232"/>
                <w:lang w:bidi="ar"/>
              </w:rPr>
              <w:t xml:space="preserve"> </w:t>
            </w:r>
            <w:r>
              <w:rPr>
                <w:rStyle w:val="231"/>
                <w:rFonts w:hint="default"/>
                <w:sz w:val="21"/>
                <w:szCs w:val="21"/>
                <w:lang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ascii="微软雅黑" w:hAnsi="微软雅黑" w:eastAsia="微软雅黑" w:cs="微软雅黑"/>
                <w:color w:val="000000"/>
                <w:sz w:val="24"/>
                <w:szCs w:val="24"/>
                <w:lang w:bidi="ar"/>
              </w:rPr>
            </w:pPr>
            <w:r>
              <w:rPr>
                <w:rFonts w:hint="eastAsia"/>
                <w:b/>
                <w:bCs/>
                <w:szCs w:val="21"/>
              </w:rPr>
              <w:t>备注</w:t>
            </w:r>
          </w:p>
        </w:tc>
        <w:tc>
          <w:tcPr>
            <w:tcW w:w="8073" w:type="dxa"/>
            <w:gridSpan w:val="9"/>
            <w:vAlign w:val="center"/>
          </w:tcPr>
          <w:p>
            <w:pPr>
              <w:widowControl/>
              <w:spacing w:line="300" w:lineRule="exact"/>
              <w:jc w:val="left"/>
              <w:textAlignment w:val="center"/>
              <w:rPr>
                <w:rFonts w:hint="eastAsia" w:ascii="宋体" w:hAnsi="宋体" w:cs="宋体"/>
                <w:color w:val="000000"/>
                <w:kern w:val="0"/>
                <w:lang w:bidi="ar"/>
              </w:rPr>
            </w:pPr>
            <w:r>
              <w:rPr>
                <w:rStyle w:val="231"/>
                <w:sz w:val="21"/>
                <w:szCs w:val="21"/>
              </w:rPr>
              <w:t>是否需要随访</w:t>
            </w:r>
            <w:r>
              <w:rPr>
                <w:rFonts w:hint="eastAsia" w:ascii="宋体" w:hAnsi="宋体" w:cs="宋体"/>
                <w:color w:val="000000"/>
                <w:kern w:val="0"/>
                <w:sz w:val="24"/>
                <w:szCs w:val="24"/>
                <w:lang w:bidi="ar"/>
              </w:rPr>
              <w:t>：</w:t>
            </w:r>
            <w:r>
              <w:rPr>
                <w:rStyle w:val="231"/>
                <w:rFonts w:hint="default"/>
                <w:sz w:val="21"/>
                <w:szCs w:val="21"/>
                <w:lang w:bidi="ar"/>
              </w:rPr>
              <w:t>□</w:t>
            </w:r>
            <w:r>
              <w:rPr>
                <w:rStyle w:val="231"/>
                <w:sz w:val="21"/>
                <w:szCs w:val="21"/>
              </w:rPr>
              <w:t>是</w:t>
            </w:r>
            <w:r>
              <w:rPr>
                <w:rStyle w:val="231"/>
                <w:rFonts w:hint="default"/>
                <w:sz w:val="21"/>
                <w:szCs w:val="21"/>
                <w:lang w:bidi="ar"/>
              </w:rPr>
              <w:t>□</w:t>
            </w:r>
            <w:r>
              <w:rPr>
                <w:rStyle w:val="231"/>
                <w:sz w:val="21"/>
                <w:szCs w:val="21"/>
              </w:rPr>
              <w:t xml:space="preserve">否 </w:t>
            </w:r>
            <w:r>
              <w:rPr>
                <w:rFonts w:hint="eastAsia" w:ascii="宋体" w:hAnsi="宋体" w:cs="宋体"/>
                <w:color w:val="000000"/>
                <w:kern w:val="0"/>
                <w:sz w:val="24"/>
                <w:szCs w:val="24"/>
                <w:lang w:bidi="ar"/>
              </w:rPr>
              <w:t xml:space="preserve">      </w:t>
            </w:r>
            <w:r>
              <w:rPr>
                <w:rStyle w:val="231"/>
                <w:rFonts w:hint="default"/>
                <w:kern w:val="0"/>
                <w:sz w:val="21"/>
                <w:szCs w:val="21"/>
                <w:lang w:bidi="ar"/>
              </w:rPr>
              <w:t xml:space="preserve">计划随访时间：  </w:t>
            </w:r>
            <w:r>
              <w:rPr>
                <w:rStyle w:val="231"/>
                <w:rFonts w:hint="default"/>
                <w:kern w:val="0"/>
                <w:sz w:val="21"/>
                <w:szCs w:val="21"/>
              </w:rPr>
              <w:t xml:space="preserve"> </w:t>
            </w:r>
            <w:r>
              <w:rPr>
                <w:rStyle w:val="231"/>
                <w:rFonts w:hint="default"/>
                <w:kern w:val="0"/>
                <w:sz w:val="21"/>
                <w:szCs w:val="21"/>
                <w:lang w:bidi="ar"/>
              </w:rPr>
              <w:t>年</w:t>
            </w:r>
            <w:r>
              <w:rPr>
                <w:rStyle w:val="231"/>
                <w:rFonts w:hint="default"/>
                <w:kern w:val="0"/>
                <w:sz w:val="21"/>
                <w:szCs w:val="21"/>
              </w:rPr>
              <w:t xml:space="preserve"> </w:t>
            </w:r>
            <w:r>
              <w:rPr>
                <w:rStyle w:val="231"/>
                <w:rFonts w:hint="default"/>
                <w:kern w:val="0"/>
                <w:sz w:val="21"/>
                <w:szCs w:val="21"/>
                <w:lang w:bidi="ar"/>
              </w:rPr>
              <w:t>月  日</w:t>
            </w:r>
            <w:r>
              <w:rPr>
                <w:rStyle w:val="231"/>
                <w:kern w:val="0"/>
                <w:sz w:val="21"/>
                <w:szCs w:val="21"/>
                <w:lang w:bidi="ar"/>
              </w:rPr>
              <w:t xml:space="preserve">    </w:t>
            </w:r>
            <w:r>
              <w:rPr>
                <w:rStyle w:val="231"/>
                <w:rFonts w:hint="default"/>
                <w:kern w:val="0"/>
                <w:sz w:val="21"/>
                <w:szCs w:val="21"/>
                <w:lang w:bidi="ar"/>
              </w:rPr>
              <w:t>其他；</w:t>
            </w:r>
            <w:r>
              <w:rPr>
                <w:rStyle w:val="231"/>
                <w:rFonts w:hint="default"/>
                <w:kern w:val="0"/>
                <w:sz w:val="21"/>
                <w:szCs w:val="21"/>
              </w:rPr>
              <w:t xml:space="preserve"> </w:t>
            </w:r>
            <w:r>
              <w:rPr>
                <w:rStyle w:val="238"/>
                <w:rFonts w:hint="default"/>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rPr>
                <w:rFonts w:hint="eastAsia" w:ascii="微软雅黑" w:hAnsi="微软雅黑" w:eastAsia="微软雅黑" w:cs="微软雅黑"/>
                <w:color w:val="000000"/>
                <w:sz w:val="24"/>
                <w:szCs w:val="24"/>
                <w:lang w:bidi="ar"/>
              </w:rPr>
            </w:pPr>
            <w:r>
              <w:rPr>
                <w:rFonts w:hint="eastAsia"/>
                <w:b/>
                <w:bCs/>
                <w:szCs w:val="21"/>
              </w:rPr>
              <w:t>咨询时长</w:t>
            </w:r>
          </w:p>
        </w:tc>
        <w:tc>
          <w:tcPr>
            <w:tcW w:w="3519" w:type="dxa"/>
            <w:gridSpan w:val="3"/>
            <w:vAlign w:val="center"/>
          </w:tcPr>
          <w:p>
            <w:pPr>
              <w:widowControl/>
              <w:spacing w:line="300" w:lineRule="exact"/>
              <w:jc w:val="left"/>
              <w:textAlignment w:val="center"/>
              <w:rPr>
                <w:rFonts w:hint="eastAsia" w:ascii="宋体" w:hAnsi="宋体" w:cs="宋体"/>
                <w:color w:val="000000"/>
                <w:kern w:val="0"/>
                <w:lang w:bidi="ar"/>
              </w:rPr>
            </w:pPr>
          </w:p>
        </w:tc>
        <w:tc>
          <w:tcPr>
            <w:tcW w:w="1442" w:type="dxa"/>
            <w:gridSpan w:val="3"/>
            <w:vAlign w:val="center"/>
          </w:tcPr>
          <w:p>
            <w:pPr>
              <w:widowControl/>
              <w:spacing w:line="300" w:lineRule="exact"/>
              <w:jc w:val="left"/>
              <w:textAlignment w:val="center"/>
              <w:rPr>
                <w:rFonts w:hint="eastAsia" w:ascii="宋体" w:hAnsi="宋体" w:cs="宋体"/>
                <w:color w:val="000000"/>
                <w:kern w:val="0"/>
                <w:lang w:bidi="ar"/>
              </w:rPr>
            </w:pPr>
            <w:r>
              <w:rPr>
                <w:rStyle w:val="231"/>
                <w:sz w:val="21"/>
                <w:szCs w:val="21"/>
              </w:rPr>
              <w:t>咨询药师</w:t>
            </w:r>
          </w:p>
        </w:tc>
        <w:tc>
          <w:tcPr>
            <w:tcW w:w="3112" w:type="dxa"/>
            <w:gridSpan w:val="3"/>
            <w:vAlign w:val="center"/>
          </w:tcPr>
          <w:p>
            <w:pPr>
              <w:widowControl/>
              <w:spacing w:line="300" w:lineRule="exact"/>
              <w:jc w:val="left"/>
              <w:textAlignment w:val="center"/>
              <w:rPr>
                <w:rFonts w:hint="eastAsia" w:ascii="宋体" w:hAnsi="宋体" w:cs="宋体"/>
                <w:color w:val="000000"/>
                <w:kern w:val="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4" w:type="dxa"/>
            <w:gridSpan w:val="10"/>
            <w:vAlign w:val="center"/>
          </w:tcPr>
          <w:p>
            <w:pPr>
              <w:pStyle w:val="56"/>
              <w:ind w:firstLine="0" w:firstLineChars="0"/>
              <w:rPr>
                <w:rFonts w:hint="eastAsia" w:hAnsi="宋体" w:cs="宋体"/>
                <w:color w:val="000000"/>
                <w:lang w:bidi="ar"/>
              </w:rPr>
            </w:pPr>
            <w:r>
              <w:rPr>
                <w:rFonts w:hint="eastAsia"/>
                <w:b/>
                <w:bCs/>
                <w:szCs w:val="21"/>
              </w:rPr>
              <w:t>患者情况：</w:t>
            </w:r>
            <w:r>
              <w:rPr>
                <w:rFonts w:hint="eastAsia"/>
                <w:szCs w:val="21"/>
              </w:rPr>
              <w:t>可填写患者的疾病诊断、疾病进展、用药情况、生活方式等与咨询内容相关内容。</w:t>
            </w:r>
          </w:p>
        </w:tc>
      </w:tr>
    </w:tbl>
    <w:p>
      <w:pPr>
        <w:pStyle w:val="56"/>
        <w:ind w:firstLine="0" w:firstLineChars="0"/>
        <w:rPr>
          <w:rFonts w:hint="eastAsia"/>
        </w:rPr>
      </w:pPr>
    </w:p>
    <w:p>
      <w:pPr>
        <w:pStyle w:val="56"/>
        <w:ind w:firstLine="0" w:firstLineChars="0"/>
        <w:sectPr>
          <w:pgSz w:w="11906" w:h="16838"/>
          <w:pgMar w:top="1928" w:right="1134" w:bottom="1134" w:left="1134" w:header="1418" w:footer="1134" w:gutter="284"/>
          <w:cols w:space="425" w:num="1"/>
          <w:formProt w:val="0"/>
          <w:docGrid w:linePitch="312" w:charSpace="0"/>
        </w:sectPr>
      </w:pPr>
    </w:p>
    <w:p>
      <w:pPr>
        <w:pStyle w:val="198"/>
        <w:rPr>
          <w:vanish w:val="0"/>
        </w:rPr>
      </w:pPr>
    </w:p>
    <w:p>
      <w:pPr>
        <w:pStyle w:val="199"/>
        <w:rPr>
          <w:vanish w:val="0"/>
        </w:rPr>
      </w:pPr>
    </w:p>
    <w:p>
      <w:pPr>
        <w:pStyle w:val="76"/>
        <w:spacing w:after="120"/>
      </w:pPr>
      <w:r>
        <w:br w:type="textWrapping"/>
      </w:r>
      <w:bookmarkStart w:id="125" w:name="_Toc147921959"/>
      <w:bookmarkStart w:id="126" w:name="_Toc147914516"/>
      <w:r>
        <w:rPr>
          <w:rFonts w:hint="eastAsia"/>
        </w:rPr>
        <w:t>（资料性）</w:t>
      </w:r>
      <w:r>
        <w:br w:type="textWrapping"/>
      </w:r>
      <w:r>
        <w:rPr>
          <w:rFonts w:hint="eastAsia"/>
        </w:rPr>
        <w:t>用药指导单</w:t>
      </w:r>
      <w:bookmarkEnd w:id="125"/>
      <w:bookmarkEnd w:id="126"/>
    </w:p>
    <w:p>
      <w:pPr>
        <w:pStyle w:val="56"/>
        <w:ind w:firstLine="420"/>
        <w:rPr>
          <w:rFonts w:hint="eastAsia"/>
        </w:rPr>
      </w:pPr>
      <w:r>
        <w:rPr>
          <w:rFonts w:hint="eastAsia"/>
        </w:rPr>
        <w:t>用药指导单见表B</w:t>
      </w:r>
      <w:r>
        <w:t>.1</w:t>
      </w:r>
    </w:p>
    <w:p>
      <w:pPr>
        <w:pStyle w:val="77"/>
        <w:spacing w:before="120" w:after="120"/>
        <w:rPr>
          <w:rFonts w:hint="eastAsia"/>
        </w:rPr>
      </w:pPr>
      <w:r>
        <w:rPr>
          <w:rFonts w:hint="eastAsia"/>
        </w:rPr>
        <w:t>用药指导单</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557"/>
        <w:gridCol w:w="1557"/>
        <w:gridCol w:w="1557"/>
        <w:gridCol w:w="1558"/>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患者姓名</w:t>
            </w:r>
          </w:p>
        </w:tc>
        <w:tc>
          <w:tcPr>
            <w:tcW w:w="3114" w:type="dxa"/>
            <w:gridSpan w:val="2"/>
            <w:vAlign w:val="center"/>
          </w:tcPr>
          <w:p>
            <w:pPr>
              <w:pStyle w:val="56"/>
              <w:ind w:firstLine="0" w:firstLineChars="0"/>
              <w:rPr>
                <w:szCs w:val="21"/>
              </w:rPr>
            </w:pPr>
          </w:p>
        </w:tc>
        <w:tc>
          <w:tcPr>
            <w:tcW w:w="1557" w:type="dxa"/>
            <w:vAlign w:val="center"/>
          </w:tcPr>
          <w:p>
            <w:pPr>
              <w:pStyle w:val="56"/>
              <w:ind w:firstLine="0" w:firstLineChars="0"/>
              <w:rPr>
                <w:szCs w:val="21"/>
              </w:rPr>
            </w:pPr>
            <w:r>
              <w:rPr>
                <w:rFonts w:hint="eastAsia" w:hAnsi="宋体" w:cs="宋体"/>
                <w:b/>
                <w:bCs/>
                <w:color w:val="000000"/>
                <w:szCs w:val="21"/>
                <w:lang w:bidi="ar"/>
              </w:rPr>
              <w:t>服务日期</w:t>
            </w:r>
          </w:p>
        </w:tc>
        <w:tc>
          <w:tcPr>
            <w:tcW w:w="3116" w:type="dxa"/>
            <w:gridSpan w:val="2"/>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性别</w:t>
            </w:r>
          </w:p>
        </w:tc>
        <w:tc>
          <w:tcPr>
            <w:tcW w:w="1557" w:type="dxa"/>
            <w:vAlign w:val="center"/>
          </w:tcPr>
          <w:p>
            <w:pPr>
              <w:pStyle w:val="56"/>
              <w:ind w:firstLine="0" w:firstLineChars="0"/>
              <w:rPr>
                <w:szCs w:val="21"/>
              </w:rPr>
            </w:pPr>
            <w:r>
              <w:rPr>
                <w:rStyle w:val="231"/>
                <w:rFonts w:hint="default"/>
                <w:sz w:val="21"/>
                <w:szCs w:val="21"/>
                <w:lang w:bidi="ar"/>
              </w:rPr>
              <w:t>□</w:t>
            </w:r>
            <w:r>
              <w:rPr>
                <w:rStyle w:val="235"/>
                <w:rFonts w:hint="default"/>
                <w:sz w:val="21"/>
                <w:szCs w:val="21"/>
                <w:lang w:bidi="ar"/>
              </w:rPr>
              <w:t xml:space="preserve">男  </w:t>
            </w:r>
            <w:r>
              <w:rPr>
                <w:rStyle w:val="231"/>
                <w:rFonts w:hint="default"/>
                <w:sz w:val="21"/>
                <w:szCs w:val="21"/>
                <w:lang w:bidi="ar"/>
              </w:rPr>
              <w:t>□</w:t>
            </w:r>
            <w:r>
              <w:rPr>
                <w:rStyle w:val="235"/>
                <w:rFonts w:hint="default"/>
                <w:sz w:val="21"/>
                <w:szCs w:val="21"/>
                <w:lang w:bidi="ar"/>
              </w:rPr>
              <w:t>女</w:t>
            </w:r>
          </w:p>
        </w:tc>
        <w:tc>
          <w:tcPr>
            <w:tcW w:w="1557" w:type="dxa"/>
            <w:vAlign w:val="center"/>
          </w:tcPr>
          <w:p>
            <w:pPr>
              <w:pStyle w:val="56"/>
              <w:ind w:firstLine="0" w:firstLineChars="0"/>
              <w:rPr>
                <w:szCs w:val="21"/>
              </w:rPr>
            </w:pPr>
            <w:r>
              <w:rPr>
                <w:rFonts w:hint="eastAsia" w:hAnsi="宋体" w:cs="宋体"/>
                <w:b/>
                <w:bCs/>
                <w:color w:val="000000"/>
                <w:szCs w:val="21"/>
                <w:lang w:bidi="ar"/>
              </w:rPr>
              <w:t>年龄</w:t>
            </w:r>
          </w:p>
        </w:tc>
        <w:tc>
          <w:tcPr>
            <w:tcW w:w="1557" w:type="dxa"/>
            <w:vAlign w:val="center"/>
          </w:tcPr>
          <w:p>
            <w:pPr>
              <w:pStyle w:val="56"/>
              <w:ind w:firstLine="0" w:firstLineChars="0"/>
              <w:rPr>
                <w:szCs w:val="21"/>
              </w:rPr>
            </w:pPr>
          </w:p>
        </w:tc>
        <w:tc>
          <w:tcPr>
            <w:tcW w:w="1558" w:type="dxa"/>
            <w:vAlign w:val="center"/>
          </w:tcPr>
          <w:p>
            <w:pPr>
              <w:pStyle w:val="56"/>
              <w:ind w:firstLine="0" w:firstLineChars="0"/>
              <w:rPr>
                <w:szCs w:val="21"/>
              </w:rPr>
            </w:pPr>
            <w:r>
              <w:rPr>
                <w:rFonts w:hint="eastAsia" w:hAnsi="宋体" w:cs="宋体"/>
                <w:b/>
                <w:bCs/>
                <w:color w:val="000000"/>
                <w:szCs w:val="21"/>
                <w:lang w:bidi="ar"/>
              </w:rPr>
              <w:t>身高/体重</w:t>
            </w:r>
          </w:p>
        </w:tc>
        <w:tc>
          <w:tcPr>
            <w:tcW w:w="1558" w:type="dxa"/>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药品名称</w:t>
            </w:r>
          </w:p>
        </w:tc>
        <w:tc>
          <w:tcPr>
            <w:tcW w:w="3114" w:type="dxa"/>
            <w:gridSpan w:val="2"/>
            <w:vAlign w:val="center"/>
          </w:tcPr>
          <w:p>
            <w:pPr>
              <w:pStyle w:val="56"/>
              <w:ind w:firstLine="0" w:firstLineChars="0"/>
              <w:rPr>
                <w:szCs w:val="21"/>
              </w:rPr>
            </w:pPr>
          </w:p>
        </w:tc>
        <w:tc>
          <w:tcPr>
            <w:tcW w:w="1557" w:type="dxa"/>
            <w:vAlign w:val="center"/>
          </w:tcPr>
          <w:p>
            <w:pPr>
              <w:pStyle w:val="56"/>
              <w:ind w:firstLine="0" w:firstLineChars="0"/>
              <w:rPr>
                <w:szCs w:val="21"/>
              </w:rPr>
            </w:pPr>
            <w:r>
              <w:rPr>
                <w:rFonts w:hint="eastAsia" w:hAnsi="宋体" w:cs="宋体"/>
                <w:b/>
                <w:bCs/>
                <w:color w:val="000000"/>
                <w:szCs w:val="21"/>
                <w:lang w:bidi="ar"/>
              </w:rPr>
              <w:t>商品名</w:t>
            </w:r>
          </w:p>
        </w:tc>
        <w:tc>
          <w:tcPr>
            <w:tcW w:w="3116" w:type="dxa"/>
            <w:gridSpan w:val="2"/>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药品规格</w:t>
            </w:r>
          </w:p>
        </w:tc>
        <w:tc>
          <w:tcPr>
            <w:tcW w:w="7787" w:type="dxa"/>
            <w:gridSpan w:val="5"/>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用法用量</w:t>
            </w:r>
          </w:p>
        </w:tc>
        <w:tc>
          <w:tcPr>
            <w:tcW w:w="7787" w:type="dxa"/>
            <w:gridSpan w:val="5"/>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用药注意</w:t>
            </w:r>
          </w:p>
        </w:tc>
        <w:tc>
          <w:tcPr>
            <w:tcW w:w="7787" w:type="dxa"/>
            <w:gridSpan w:val="5"/>
            <w:vAlign w:val="center"/>
          </w:tcPr>
          <w:p>
            <w:pPr>
              <w:spacing w:line="560" w:lineRule="exact"/>
              <w:rPr>
                <w:rFonts w:ascii="宋体" w:hAnsi="宋体" w:cs="宋体"/>
                <w:b/>
                <w:bCs/>
                <w:color w:val="FF0000"/>
              </w:rPr>
            </w:pPr>
            <w:r>
              <w:rPr>
                <w:rFonts w:hint="eastAsia" w:ascii="宋体" w:hAnsi="宋体" w:cs="宋体"/>
                <w:b/>
                <w:bCs/>
                <w:color w:val="FF0000"/>
              </w:rPr>
              <w:t>（使用前，请确认是否有以下情况）</w:t>
            </w:r>
          </w:p>
          <w:p>
            <w:pPr>
              <w:spacing w:line="560" w:lineRule="exact"/>
              <w:rPr>
                <w:rFonts w:hint="eastAsia" w:ascii="宋体" w:hAnsi="宋体" w:cs="宋体"/>
                <w:b/>
                <w:bCs/>
                <w:color w:val="FF0000"/>
              </w:rPr>
            </w:pPr>
          </w:p>
          <w:p>
            <w:pPr>
              <w:spacing w:line="560" w:lineRule="exact"/>
              <w:rPr>
                <w:rFonts w:ascii="宋体" w:hAnsi="宋体" w:cs="宋体"/>
                <w:b/>
                <w:bCs/>
                <w:color w:val="FF0000"/>
              </w:rPr>
            </w:pPr>
            <w:r>
              <w:rPr>
                <w:rFonts w:hint="eastAsia" w:ascii="宋体" w:hAnsi="宋体" w:cs="宋体"/>
                <w:b/>
                <w:bCs/>
                <w:color w:val="FF0000"/>
              </w:rPr>
              <w:t>（用药期间：）</w:t>
            </w:r>
          </w:p>
          <w:p>
            <w:pPr>
              <w:spacing w:line="560" w:lineRule="exact"/>
              <w:rPr>
                <w:rFonts w:ascii="宋体" w:hAnsi="宋体" w:cs="宋体"/>
                <w:color w:val="FF0000"/>
                <w:u w:val="single"/>
              </w:rPr>
            </w:pPr>
            <w:r>
              <w:rPr>
                <w:rFonts w:hint="eastAsia" w:ascii="宋体" w:hAnsi="宋体" w:cs="宋体"/>
                <w:b/>
                <w:bCs/>
                <w:color w:val="FF0000"/>
              </w:rPr>
              <w:t xml:space="preserve"> </w:t>
            </w:r>
            <w:r>
              <w:rPr>
                <w:rFonts w:hint="eastAsia" w:ascii="宋体" w:hAnsi="宋体" w:cs="宋体"/>
                <w:color w:val="FF0000"/>
              </w:rPr>
              <w:t>应定期监测</w:t>
            </w:r>
            <w:r>
              <w:rPr>
                <w:rFonts w:hint="eastAsia" w:ascii="宋体" w:hAnsi="宋体" w:cs="宋体"/>
                <w:color w:val="FF0000"/>
                <w:u w:val="single"/>
              </w:rPr>
              <w:t xml:space="preserve">                 </w:t>
            </w:r>
            <w:r>
              <w:rPr>
                <w:rFonts w:hint="eastAsia" w:ascii="宋体" w:hAnsi="宋体" w:cs="宋体"/>
                <w:color w:val="FF0000"/>
              </w:rPr>
              <w:t>，复诊</w:t>
            </w:r>
            <w:r>
              <w:rPr>
                <w:rFonts w:hint="eastAsia" w:ascii="宋体" w:hAnsi="宋体" w:cs="宋体"/>
                <w:color w:val="FF0000"/>
                <w:u w:val="single"/>
              </w:rPr>
              <w:t xml:space="preserve">                </w:t>
            </w:r>
            <w:r>
              <w:rPr>
                <w:rFonts w:hint="eastAsia" w:ascii="宋体" w:hAnsi="宋体" w:cs="宋体"/>
                <w:color w:val="FF0000"/>
              </w:rPr>
              <w:t>：</w:t>
            </w:r>
          </w:p>
          <w:p>
            <w:pPr>
              <w:spacing w:line="560" w:lineRule="exact"/>
              <w:rPr>
                <w:rFonts w:ascii="宋体" w:hAnsi="宋体" w:cs="宋体"/>
                <w:color w:val="FF0000"/>
              </w:rPr>
            </w:pPr>
            <w:r>
              <w:rPr>
                <w:rFonts w:hint="eastAsia" w:ascii="宋体" w:hAnsi="宋体" w:cs="宋体"/>
                <w:color w:val="FF0000"/>
              </w:rPr>
              <w:t>（用药禁忌：）</w:t>
            </w:r>
          </w:p>
          <w:p>
            <w:pPr>
              <w:spacing w:line="560" w:lineRule="exact"/>
              <w:rPr>
                <w:rFonts w:hint="eastAsia" w:ascii="宋体" w:hAnsi="宋体" w:cs="宋体"/>
                <w:color w:val="FF0000"/>
              </w:rPr>
            </w:pPr>
          </w:p>
          <w:p>
            <w:pPr>
              <w:spacing w:line="560" w:lineRule="exact"/>
              <w:rPr>
                <w:rFonts w:ascii="宋体" w:hAnsi="宋体" w:cs="宋体"/>
                <w:color w:val="FF0000"/>
              </w:rPr>
            </w:pPr>
            <w:r>
              <w:rPr>
                <w:rFonts w:hint="eastAsia" w:ascii="宋体" w:hAnsi="宋体" w:cs="宋体"/>
                <w:color w:val="FF0000"/>
              </w:rPr>
              <w:t>与下述药物使用应谨慎：</w:t>
            </w:r>
          </w:p>
          <w:p>
            <w:pPr>
              <w:spacing w:line="560" w:lineRule="exact"/>
              <w:rPr>
                <w:rFonts w:hint="eastAsia" w:ascii="宋体" w:hAnsi="宋体" w:cs="宋体"/>
                <w:color w:val="FF0000"/>
              </w:rPr>
            </w:pPr>
          </w:p>
          <w:p>
            <w:pPr>
              <w:spacing w:line="560" w:lineRule="exact"/>
              <w:rPr>
                <w:rFonts w:ascii="宋体" w:hAnsi="宋体" w:cs="宋体"/>
                <w:b/>
                <w:bCs/>
                <w:color w:val="FF0000"/>
              </w:rPr>
            </w:pPr>
            <w:r>
              <w:rPr>
                <w:rFonts w:hint="eastAsia" w:ascii="宋体" w:hAnsi="宋体" w:cs="宋体"/>
                <w:b/>
                <w:bCs/>
                <w:color w:val="FF0000"/>
              </w:rPr>
              <w:t>（用药后，若出现下列情况，请立即与药师/医生联系：）</w:t>
            </w:r>
          </w:p>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药品储存</w:t>
            </w:r>
          </w:p>
        </w:tc>
        <w:tc>
          <w:tcPr>
            <w:tcW w:w="7787" w:type="dxa"/>
            <w:gridSpan w:val="5"/>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szCs w:val="21"/>
              </w:rPr>
            </w:pPr>
            <w:r>
              <w:rPr>
                <w:rFonts w:hint="eastAsia" w:hAnsi="宋体" w:cs="宋体"/>
                <w:b/>
                <w:bCs/>
                <w:color w:val="000000"/>
                <w:szCs w:val="21"/>
                <w:lang w:bidi="ar"/>
              </w:rPr>
              <w:t>漏服处理</w:t>
            </w:r>
          </w:p>
        </w:tc>
        <w:tc>
          <w:tcPr>
            <w:tcW w:w="7787" w:type="dxa"/>
            <w:gridSpan w:val="5"/>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rFonts w:hint="eastAsia" w:hAnsi="宋体" w:cs="宋体"/>
                <w:color w:val="000000"/>
                <w:szCs w:val="21"/>
                <w:lang w:bidi="ar"/>
              </w:rPr>
            </w:pPr>
            <w:r>
              <w:rPr>
                <w:rFonts w:hint="eastAsia" w:hAnsi="宋体" w:cs="宋体"/>
                <w:b/>
                <w:bCs/>
                <w:color w:val="000000"/>
                <w:szCs w:val="21"/>
                <w:lang w:bidi="ar"/>
              </w:rPr>
              <w:t>可能发生的药物不良反应表现与处理措施</w:t>
            </w:r>
          </w:p>
        </w:tc>
        <w:tc>
          <w:tcPr>
            <w:tcW w:w="7787" w:type="dxa"/>
            <w:gridSpan w:val="5"/>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4" w:type="dxa"/>
            <w:gridSpan w:val="6"/>
            <w:vAlign w:val="center"/>
          </w:tcPr>
          <w:p>
            <w:pPr>
              <w:pStyle w:val="56"/>
              <w:ind w:firstLine="0" w:firstLineChars="0"/>
              <w:rPr>
                <w:szCs w:val="21"/>
              </w:rPr>
            </w:pPr>
            <w:bookmarkStart w:id="135" w:name="_GoBack"/>
            <w:r>
              <w:rPr>
                <w:rFonts w:hint="eastAsia" w:hAnsi="宋体" w:cs="宋体"/>
                <w:b/>
                <w:bCs/>
                <w:color w:val="000000"/>
                <w:szCs w:val="21"/>
                <w:lang w:bidi="ar"/>
              </w:rPr>
              <w:t>＊如您有任何关于药物的疑问，请拨打药师咨询电话：</w:t>
            </w:r>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57" w:type="dxa"/>
            <w:vAlign w:val="center"/>
          </w:tcPr>
          <w:p>
            <w:pPr>
              <w:pStyle w:val="56"/>
              <w:ind w:firstLine="0" w:firstLineChars="0"/>
              <w:rPr>
                <w:rFonts w:hint="eastAsia" w:hAnsi="宋体" w:cs="宋体"/>
                <w:color w:val="000000"/>
                <w:szCs w:val="21"/>
                <w:lang w:bidi="ar"/>
              </w:rPr>
            </w:pPr>
            <w:r>
              <w:rPr>
                <w:rFonts w:hint="eastAsia" w:hAnsi="宋体" w:cs="宋体"/>
                <w:b/>
                <w:bCs/>
                <w:color w:val="000000"/>
                <w:szCs w:val="21"/>
                <w:lang w:bidi="ar"/>
              </w:rPr>
              <w:t>药店名称</w:t>
            </w:r>
          </w:p>
        </w:tc>
        <w:tc>
          <w:tcPr>
            <w:tcW w:w="3114" w:type="dxa"/>
            <w:gridSpan w:val="2"/>
            <w:vAlign w:val="center"/>
          </w:tcPr>
          <w:p>
            <w:pPr>
              <w:pStyle w:val="56"/>
              <w:ind w:firstLine="0" w:firstLineChars="0"/>
              <w:rPr>
                <w:szCs w:val="21"/>
              </w:rPr>
            </w:pPr>
          </w:p>
        </w:tc>
        <w:tc>
          <w:tcPr>
            <w:tcW w:w="1557" w:type="dxa"/>
            <w:vAlign w:val="center"/>
          </w:tcPr>
          <w:p>
            <w:pPr>
              <w:pStyle w:val="56"/>
              <w:ind w:firstLine="0" w:firstLineChars="0"/>
              <w:rPr>
                <w:szCs w:val="21"/>
              </w:rPr>
            </w:pPr>
            <w:r>
              <w:rPr>
                <w:rFonts w:hint="eastAsia" w:hAnsi="宋体" w:cs="宋体"/>
                <w:b/>
                <w:bCs/>
                <w:color w:val="000000"/>
                <w:szCs w:val="21"/>
                <w:lang w:bidi="ar"/>
              </w:rPr>
              <w:t>药店地址</w:t>
            </w:r>
          </w:p>
        </w:tc>
        <w:tc>
          <w:tcPr>
            <w:tcW w:w="3116" w:type="dxa"/>
            <w:gridSpan w:val="2"/>
            <w:vAlign w:val="center"/>
          </w:tcPr>
          <w:p>
            <w:pPr>
              <w:pStyle w:val="56"/>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4" w:type="dxa"/>
            <w:gridSpan w:val="6"/>
            <w:vAlign w:val="center"/>
          </w:tcPr>
          <w:p>
            <w:pPr>
              <w:pStyle w:val="56"/>
              <w:ind w:firstLine="0" w:firstLineChars="0"/>
              <w:rPr>
                <w:szCs w:val="21"/>
              </w:rPr>
            </w:pPr>
            <w:r>
              <w:rPr>
                <w:rFonts w:hint="eastAsia" w:hAnsi="宋体" w:cs="宋体"/>
                <w:color w:val="000000"/>
                <w:szCs w:val="21"/>
              </w:rPr>
              <w:t>可按患者以及提供服务的需要，增减指导单的项目与内容。用法注意:如什么时候用，用多长时间，间隔时间，可否破碎、漏服处理等，</w:t>
            </w:r>
          </w:p>
        </w:tc>
      </w:tr>
    </w:tbl>
    <w:p>
      <w:pPr>
        <w:pStyle w:val="56"/>
        <w:ind w:firstLine="420"/>
      </w:pPr>
    </w:p>
    <w:p>
      <w:pPr>
        <w:pStyle w:val="56"/>
        <w:ind w:firstLine="420"/>
      </w:pPr>
    </w:p>
    <w:p>
      <w:pPr>
        <w:pStyle w:val="56"/>
        <w:ind w:firstLine="0" w:firstLineChars="0"/>
        <w:rPr>
          <w:rFonts w:hint="eastAsia"/>
        </w:rPr>
        <w:sectPr>
          <w:pgSz w:w="11906" w:h="16838"/>
          <w:pgMar w:top="1928" w:right="1134" w:bottom="1134" w:left="1134" w:header="1418" w:footer="1134" w:gutter="284"/>
          <w:cols w:space="425" w:num="1"/>
          <w:formProt w:val="0"/>
          <w:docGrid w:linePitch="312" w:charSpace="0"/>
        </w:sectPr>
      </w:pPr>
    </w:p>
    <w:p>
      <w:pPr>
        <w:pStyle w:val="198"/>
        <w:rPr>
          <w:vanish w:val="0"/>
        </w:rPr>
      </w:pPr>
    </w:p>
    <w:p>
      <w:pPr>
        <w:pStyle w:val="199"/>
        <w:rPr>
          <w:vanish w:val="0"/>
        </w:rPr>
      </w:pPr>
    </w:p>
    <w:p>
      <w:pPr>
        <w:pStyle w:val="76"/>
        <w:spacing w:after="120"/>
      </w:pPr>
      <w:r>
        <w:br w:type="textWrapping"/>
      </w:r>
      <w:bookmarkStart w:id="127" w:name="_Toc147914517"/>
      <w:bookmarkStart w:id="128" w:name="_Toc147921960"/>
      <w:r>
        <w:rPr>
          <w:rFonts w:hint="eastAsia"/>
        </w:rPr>
        <w:t>（资料性）</w:t>
      </w:r>
      <w:r>
        <w:br w:type="textWrapping"/>
      </w:r>
      <w:r>
        <w:rPr>
          <w:rFonts w:hint="eastAsia"/>
        </w:rPr>
        <w:t>不合理处方干预记录</w:t>
      </w:r>
      <w:bookmarkEnd w:id="127"/>
      <w:bookmarkEnd w:id="128"/>
    </w:p>
    <w:p>
      <w:pPr>
        <w:pStyle w:val="56"/>
        <w:ind w:firstLine="420"/>
        <w:rPr>
          <w:rFonts w:hint="eastAsia"/>
        </w:rPr>
      </w:pPr>
      <w:r>
        <w:rPr>
          <w:rFonts w:hint="eastAsia"/>
        </w:rPr>
        <w:t>不合理处方干预记录见表C</w:t>
      </w:r>
      <w:r>
        <w:t>.1</w:t>
      </w:r>
    </w:p>
    <w:p>
      <w:pPr>
        <w:pStyle w:val="77"/>
        <w:spacing w:before="120" w:after="120"/>
        <w:rPr>
          <w:rFonts w:hint="eastAsia"/>
        </w:rPr>
      </w:pPr>
      <w:r>
        <w:rPr>
          <w:rFonts w:hint="eastAsia"/>
        </w:rPr>
        <w:t>不合理处方干预记录</w:t>
      </w:r>
    </w:p>
    <w:tbl>
      <w:tblPr>
        <w:tblStyle w:val="26"/>
        <w:tblW w:w="8996" w:type="dxa"/>
        <w:tblInd w:w="98" w:type="dxa"/>
        <w:tblLayout w:type="fixed"/>
        <w:tblCellMar>
          <w:top w:w="0" w:type="dxa"/>
          <w:left w:w="108" w:type="dxa"/>
          <w:bottom w:w="0" w:type="dxa"/>
          <w:right w:w="108" w:type="dxa"/>
        </w:tblCellMar>
      </w:tblPr>
      <w:tblGrid>
        <w:gridCol w:w="1740"/>
        <w:gridCol w:w="1019"/>
        <w:gridCol w:w="791"/>
        <w:gridCol w:w="742"/>
        <w:gridCol w:w="1134"/>
        <w:gridCol w:w="1006"/>
        <w:gridCol w:w="918"/>
        <w:gridCol w:w="1646"/>
      </w:tblGrid>
      <w:tr>
        <w:tblPrEx>
          <w:tblCellMar>
            <w:top w:w="0" w:type="dxa"/>
            <w:left w:w="108" w:type="dxa"/>
            <w:bottom w:w="0" w:type="dxa"/>
            <w:right w:w="108" w:type="dxa"/>
          </w:tblCellMar>
        </w:tblPrEx>
        <w:trPr>
          <w:trHeight w:val="397" w:hRule="atLeast"/>
        </w:trPr>
        <w:tc>
          <w:tcPr>
            <w:tcW w:w="174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患者姓名</w:t>
            </w:r>
          </w:p>
        </w:tc>
        <w:tc>
          <w:tcPr>
            <w:tcW w:w="1019"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性别</w:t>
            </w:r>
          </w:p>
        </w:tc>
        <w:tc>
          <w:tcPr>
            <w:tcW w:w="742"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年龄</w:t>
            </w:r>
          </w:p>
        </w:tc>
        <w:tc>
          <w:tcPr>
            <w:tcW w:w="1006"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科别</w:t>
            </w:r>
          </w:p>
        </w:tc>
        <w:tc>
          <w:tcPr>
            <w:tcW w:w="1646"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74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登记号或病历号</w:t>
            </w:r>
          </w:p>
        </w:tc>
        <w:tc>
          <w:tcPr>
            <w:tcW w:w="2552" w:type="dxa"/>
            <w:gridSpan w:val="3"/>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登记日期</w:t>
            </w:r>
          </w:p>
        </w:tc>
        <w:tc>
          <w:tcPr>
            <w:tcW w:w="3570" w:type="dxa"/>
            <w:gridSpan w:val="3"/>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740" w:type="dxa"/>
            <w:tcBorders>
              <w:top w:val="single" w:color="000000" w:sz="4" w:space="0"/>
              <w:left w:val="single" w:color="000000" w:sz="4" w:space="0"/>
              <w:bottom w:val="single" w:color="auto" w:sz="4" w:space="0"/>
              <w:right w:val="single" w:color="000000" w:sz="4" w:space="0"/>
            </w:tcBorders>
            <w:noWrap/>
            <w:vAlign w:val="center"/>
          </w:tcPr>
          <w:p>
            <w:pPr>
              <w:widowControl/>
              <w:jc w:val="left"/>
              <w:textAlignment w:val="center"/>
              <w:rPr>
                <w:rFonts w:ascii="宋体" w:hAnsi="宋体" w:cs="宋体"/>
                <w:b/>
                <w:bCs/>
                <w:color w:val="000000"/>
              </w:rPr>
            </w:pPr>
            <w:r>
              <w:rPr>
                <w:rFonts w:hint="eastAsia" w:ascii="宋体" w:hAnsi="宋体" w:cs="宋体"/>
                <w:b/>
                <w:bCs/>
                <w:color w:val="000000"/>
                <w:kern w:val="0"/>
                <w:lang w:bidi="ar"/>
              </w:rPr>
              <w:t>临床诊断</w:t>
            </w:r>
          </w:p>
        </w:tc>
        <w:tc>
          <w:tcPr>
            <w:tcW w:w="7256" w:type="dxa"/>
            <w:gridSpan w:val="7"/>
            <w:tcBorders>
              <w:top w:val="single" w:color="000000" w:sz="4" w:space="0"/>
              <w:left w:val="single" w:color="000000" w:sz="4" w:space="0"/>
              <w:bottom w:val="single" w:color="auto" w:sz="4" w:space="0"/>
              <w:right w:val="single" w:color="000000" w:sz="4" w:space="0"/>
            </w:tcBorders>
            <w:noWrap/>
            <w:vAlign w:val="center"/>
          </w:tcPr>
          <w:p>
            <w:pP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7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bCs/>
                <w:color w:val="000000"/>
              </w:rPr>
            </w:pPr>
            <w:r>
              <w:rPr>
                <w:rFonts w:hint="eastAsia" w:ascii="宋体" w:hAnsi="宋体" w:cs="宋体"/>
                <w:b/>
                <w:bCs/>
                <w:color w:val="000000"/>
                <w:kern w:val="0"/>
                <w:lang w:bidi="ar"/>
              </w:rPr>
              <w:t>处方及干预原因</w:t>
            </w:r>
          </w:p>
        </w:tc>
        <w:tc>
          <w:tcPr>
            <w:tcW w:w="3686" w:type="dxa"/>
            <w:gridSpan w:val="4"/>
            <w:vMerge w:val="restart"/>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须皮试药品，未注明试验结果</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处方用药与诊断不符</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kern w:val="0"/>
                <w:lang w:bidi="ar"/>
              </w:rPr>
            </w:pPr>
            <w:r>
              <w:rPr>
                <w:rStyle w:val="231"/>
                <w:rFonts w:hint="default"/>
                <w:sz w:val="21"/>
                <w:szCs w:val="21"/>
                <w:lang w:bidi="ar"/>
              </w:rPr>
              <w:t>□</w:t>
            </w:r>
            <w:r>
              <w:rPr>
                <w:rFonts w:hint="eastAsia" w:ascii="宋体" w:hAnsi="宋体" w:cs="宋体"/>
                <w:color w:val="000000"/>
                <w:kern w:val="0"/>
                <w:lang w:bidi="ar"/>
              </w:rPr>
              <w:t>药物剂量、剂型、用法不当</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注射剂溶媒选择不当</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潜在不当的药物相互作用</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存在说明书禁忌用药</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疑似重复用药</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其他用药不适宜情况</w:t>
            </w:r>
          </w:p>
        </w:tc>
      </w:tr>
      <w:tr>
        <w:tblPrEx>
          <w:tblCellMar>
            <w:top w:w="0" w:type="dxa"/>
            <w:left w:w="108" w:type="dxa"/>
            <w:bottom w:w="0" w:type="dxa"/>
            <w:right w:w="108" w:type="dxa"/>
          </w:tblCellMar>
        </w:tblPrEx>
        <w:trPr>
          <w:trHeight w:val="397" w:hRule="atLeast"/>
        </w:trPr>
        <w:tc>
          <w:tcPr>
            <w:tcW w:w="17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bCs/>
                <w:color w:val="000000"/>
              </w:rPr>
            </w:pPr>
            <w:r>
              <w:rPr>
                <w:rFonts w:hint="eastAsia" w:ascii="宋体" w:hAnsi="宋体" w:cs="宋体"/>
                <w:b/>
                <w:bCs/>
                <w:color w:val="000000"/>
                <w:kern w:val="0"/>
                <w:lang w:bidi="ar"/>
              </w:rPr>
              <w:t>处方干预结果</w:t>
            </w:r>
          </w:p>
        </w:tc>
        <w:tc>
          <w:tcPr>
            <w:tcW w:w="3686" w:type="dxa"/>
            <w:gridSpan w:val="4"/>
            <w:vMerge w:val="restart"/>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处方修改</w:t>
            </w:r>
          </w:p>
        </w:tc>
      </w:tr>
      <w:tr>
        <w:tblPrEx>
          <w:tblCellMar>
            <w:top w:w="0" w:type="dxa"/>
            <w:left w:w="108" w:type="dxa"/>
            <w:bottom w:w="0" w:type="dxa"/>
            <w:right w:w="108" w:type="dxa"/>
          </w:tblCellMar>
        </w:tblPrEx>
        <w:trPr>
          <w:trHeight w:val="397"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rPr>
            </w:pPr>
          </w:p>
        </w:tc>
        <w:tc>
          <w:tcPr>
            <w:tcW w:w="3686" w:type="dxa"/>
            <w:gridSpan w:val="4"/>
            <w:vMerge w:val="continue"/>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处方未修改</w:t>
            </w:r>
          </w:p>
        </w:tc>
      </w:tr>
      <w:tr>
        <w:tblPrEx>
          <w:tblCellMar>
            <w:top w:w="0" w:type="dxa"/>
            <w:left w:w="108" w:type="dxa"/>
            <w:bottom w:w="0" w:type="dxa"/>
            <w:right w:w="108" w:type="dxa"/>
          </w:tblCellMar>
        </w:tblPrEx>
        <w:trPr>
          <w:trHeight w:val="397" w:hRule="atLeast"/>
        </w:trPr>
        <w:tc>
          <w:tcPr>
            <w:tcW w:w="1740" w:type="dxa"/>
            <w:tcBorders>
              <w:top w:val="single" w:color="auto" w:sz="4" w:space="0"/>
              <w:left w:val="nil"/>
              <w:bottom w:val="nil"/>
              <w:right w:val="nil"/>
            </w:tcBorders>
            <w:vAlign w:val="center"/>
          </w:tcPr>
          <w:p>
            <w:pPr>
              <w:jc w:val="center"/>
              <w:rPr>
                <w:rFonts w:ascii="宋体" w:hAnsi="宋体" w:cs="宋体"/>
                <w:b/>
                <w:bCs/>
                <w:color w:val="000000"/>
              </w:rPr>
            </w:pPr>
            <w:r>
              <w:rPr>
                <w:rFonts w:hint="eastAsia" w:ascii="宋体" w:hAnsi="宋体" w:cs="宋体"/>
                <w:b/>
                <w:bCs/>
                <w:color w:val="000000"/>
                <w:kern w:val="0"/>
                <w:lang w:bidi="ar"/>
              </w:rPr>
              <w:t>药师签名</w:t>
            </w:r>
          </w:p>
        </w:tc>
        <w:tc>
          <w:tcPr>
            <w:tcW w:w="3686" w:type="dxa"/>
            <w:gridSpan w:val="4"/>
            <w:tcBorders>
              <w:top w:val="single" w:color="auto" w:sz="4" w:space="0"/>
              <w:left w:val="nil"/>
              <w:bottom w:val="nil"/>
              <w:right w:val="nil"/>
            </w:tcBorders>
            <w:noWrap/>
            <w:vAlign w:val="center"/>
          </w:tcPr>
          <w:p>
            <w:pPr>
              <w:widowControl/>
              <w:jc w:val="left"/>
              <w:textAlignment w:val="center"/>
              <w:rPr>
                <w:rFonts w:ascii="宋体" w:hAnsi="宋体" w:cs="宋体"/>
                <w:color w:val="000000"/>
              </w:rPr>
            </w:pPr>
          </w:p>
        </w:tc>
        <w:tc>
          <w:tcPr>
            <w:tcW w:w="3570" w:type="dxa"/>
            <w:gridSpan w:val="3"/>
            <w:tcBorders>
              <w:top w:val="single" w:color="auto" w:sz="4" w:space="0"/>
              <w:left w:val="nil"/>
              <w:bottom w:val="nil"/>
              <w:right w:val="nil"/>
            </w:tcBorders>
            <w:noWrap/>
            <w:vAlign w:val="center"/>
          </w:tcPr>
          <w:p>
            <w:pPr>
              <w:rPr>
                <w:rFonts w:ascii="宋体" w:hAnsi="宋体" w:cs="宋体"/>
                <w:color w:val="000000"/>
                <w:kern w:val="0"/>
                <w:lang w:bidi="ar"/>
              </w:rPr>
            </w:pPr>
          </w:p>
        </w:tc>
      </w:tr>
    </w:tbl>
    <w:p>
      <w:pPr>
        <w:pStyle w:val="56"/>
        <w:ind w:firstLine="420"/>
      </w:pPr>
    </w:p>
    <w:p>
      <w:pPr>
        <w:pStyle w:val="56"/>
        <w:ind w:firstLine="420"/>
      </w:pPr>
    </w:p>
    <w:p>
      <w:pPr>
        <w:pStyle w:val="56"/>
        <w:ind w:firstLine="420"/>
      </w:pPr>
    </w:p>
    <w:p>
      <w:pPr>
        <w:pStyle w:val="56"/>
        <w:ind w:firstLine="420"/>
      </w:pPr>
    </w:p>
    <w:p>
      <w:pPr>
        <w:pStyle w:val="56"/>
        <w:ind w:firstLine="0" w:firstLineChars="0"/>
        <w:sectPr>
          <w:pgSz w:w="11906" w:h="16838"/>
          <w:pgMar w:top="1928" w:right="1134" w:bottom="1134" w:left="1134" w:header="1418" w:footer="1134" w:gutter="284"/>
          <w:cols w:space="425" w:num="1"/>
          <w:formProt w:val="0"/>
          <w:docGrid w:linePitch="312" w:charSpace="0"/>
        </w:sectPr>
      </w:pPr>
    </w:p>
    <w:p>
      <w:pPr>
        <w:pStyle w:val="198"/>
        <w:rPr>
          <w:vanish w:val="0"/>
        </w:rPr>
      </w:pPr>
    </w:p>
    <w:p>
      <w:pPr>
        <w:pStyle w:val="199"/>
        <w:rPr>
          <w:vanish w:val="0"/>
        </w:rPr>
      </w:pPr>
    </w:p>
    <w:p>
      <w:pPr>
        <w:pStyle w:val="76"/>
        <w:spacing w:after="120"/>
      </w:pPr>
      <w:r>
        <w:br w:type="textWrapping"/>
      </w:r>
      <w:bookmarkStart w:id="129" w:name="_Toc147914518"/>
      <w:bookmarkStart w:id="130" w:name="_Toc147921961"/>
      <w:r>
        <w:rPr>
          <w:rFonts w:hint="eastAsia"/>
        </w:rPr>
        <w:t>（资料性）</w:t>
      </w:r>
      <w:r>
        <w:br w:type="textWrapping"/>
      </w:r>
      <w:r>
        <w:rPr>
          <w:rFonts w:hint="eastAsia"/>
        </w:rPr>
        <w:t>患者信息收集表</w:t>
      </w:r>
      <w:bookmarkEnd w:id="129"/>
      <w:bookmarkEnd w:id="130"/>
    </w:p>
    <w:p>
      <w:pPr>
        <w:pStyle w:val="56"/>
        <w:ind w:firstLine="420"/>
        <w:rPr>
          <w:rFonts w:hint="eastAsia"/>
        </w:rPr>
      </w:pPr>
      <w:r>
        <w:rPr>
          <w:rFonts w:hint="eastAsia"/>
        </w:rPr>
        <w:t>患者信息收集表见表D</w:t>
      </w:r>
      <w:r>
        <w:t>.1</w:t>
      </w:r>
    </w:p>
    <w:p>
      <w:pPr>
        <w:pStyle w:val="77"/>
        <w:spacing w:before="120" w:after="120"/>
        <w:rPr>
          <w:rFonts w:hint="eastAsia"/>
        </w:rPr>
      </w:pPr>
      <w:r>
        <w:rPr>
          <w:rFonts w:hint="eastAsia"/>
        </w:rPr>
        <w:t>患者信息收集表</w:t>
      </w:r>
    </w:p>
    <w:tbl>
      <w:tblPr>
        <w:tblStyle w:val="26"/>
        <w:tblW w:w="5080" w:type="pct"/>
        <w:tblInd w:w="0" w:type="dxa"/>
        <w:tblLayout w:type="fixed"/>
        <w:tblCellMar>
          <w:top w:w="0" w:type="dxa"/>
          <w:left w:w="108" w:type="dxa"/>
          <w:bottom w:w="0" w:type="dxa"/>
          <w:right w:w="108" w:type="dxa"/>
        </w:tblCellMar>
      </w:tblPr>
      <w:tblGrid>
        <w:gridCol w:w="1012"/>
        <w:gridCol w:w="1457"/>
        <w:gridCol w:w="1452"/>
        <w:gridCol w:w="144"/>
        <w:gridCol w:w="906"/>
        <w:gridCol w:w="111"/>
        <w:gridCol w:w="723"/>
        <w:gridCol w:w="727"/>
        <w:gridCol w:w="286"/>
        <w:gridCol w:w="31"/>
        <w:gridCol w:w="991"/>
        <w:gridCol w:w="461"/>
        <w:gridCol w:w="414"/>
        <w:gridCol w:w="1008"/>
      </w:tblGrid>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b/>
                <w:bCs/>
                <w:color w:val="000000"/>
              </w:rPr>
            </w:pPr>
            <w:r>
              <w:rPr>
                <w:rFonts w:ascii="宋体" w:hAnsi="宋体" w:cs="宋体"/>
                <w:b/>
                <w:bCs/>
                <w:color w:val="000000"/>
                <w:kern w:val="0"/>
                <w:lang w:bidi="ar"/>
              </w:rPr>
              <w:t>D</w:t>
            </w:r>
            <w:r>
              <w:rPr>
                <w:rFonts w:hint="eastAsia" w:ascii="宋体" w:hAnsi="宋体" w:cs="宋体"/>
                <w:b/>
                <w:bCs/>
                <w:color w:val="000000"/>
                <w:kern w:val="0"/>
                <w:lang w:bidi="ar"/>
              </w:rPr>
              <w:t>.1患者基本信息</w:t>
            </w:r>
          </w:p>
        </w:tc>
      </w:tr>
      <w:tr>
        <w:tblPrEx>
          <w:tblCellMar>
            <w:top w:w="0" w:type="dxa"/>
            <w:left w:w="108" w:type="dxa"/>
            <w:bottom w:w="0" w:type="dxa"/>
            <w:right w:w="108" w:type="dxa"/>
          </w:tblCellMar>
        </w:tblPrEx>
        <w:trPr>
          <w:trHeight w:val="397" w:hRule="atLeast"/>
        </w:trPr>
        <w:tc>
          <w:tcPr>
            <w:tcW w:w="520"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姓名</w:t>
            </w:r>
          </w:p>
        </w:tc>
        <w:tc>
          <w:tcPr>
            <w:tcW w:w="749"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c>
          <w:tcPr>
            <w:tcW w:w="74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性别</w:t>
            </w:r>
          </w:p>
        </w:tc>
        <w:tc>
          <w:tcPr>
            <w:tcW w:w="597"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746"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年龄</w:t>
            </w:r>
          </w:p>
        </w:tc>
        <w:tc>
          <w:tcPr>
            <w:tcW w:w="673" w:type="pct"/>
            <w:gridSpan w:val="3"/>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450"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联系方式</w:t>
            </w:r>
          </w:p>
        </w:tc>
        <w:tc>
          <w:tcPr>
            <w:tcW w:w="518" w:type="pct"/>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520"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职业</w:t>
            </w:r>
          </w:p>
        </w:tc>
        <w:tc>
          <w:tcPr>
            <w:tcW w:w="749"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c>
          <w:tcPr>
            <w:tcW w:w="747"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妊娠/哺乳</w:t>
            </w:r>
          </w:p>
        </w:tc>
        <w:tc>
          <w:tcPr>
            <w:tcW w:w="597"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746"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过敏史</w:t>
            </w:r>
          </w:p>
        </w:tc>
        <w:tc>
          <w:tcPr>
            <w:tcW w:w="673" w:type="pct"/>
            <w:gridSpan w:val="3"/>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450"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家族史</w:t>
            </w:r>
          </w:p>
        </w:tc>
        <w:tc>
          <w:tcPr>
            <w:tcW w:w="518" w:type="pct"/>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r>
              <w:rPr>
                <w:rFonts w:hint="eastAsia" w:ascii="宋体" w:hAnsi="宋体" w:cs="宋体"/>
                <w:color w:val="000000"/>
                <w:kern w:val="0"/>
                <w:lang w:bidi="ar"/>
              </w:rPr>
              <w:t>既往史</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医保/商保</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 xml:space="preserve">本地医保   </w:t>
            </w:r>
            <w:r>
              <w:rPr>
                <w:rStyle w:val="231"/>
                <w:rFonts w:hint="default"/>
                <w:sz w:val="21"/>
                <w:szCs w:val="21"/>
                <w:lang w:bidi="ar"/>
              </w:rPr>
              <w:t>□</w:t>
            </w:r>
            <w:r>
              <w:rPr>
                <w:rFonts w:hint="eastAsia" w:ascii="宋体" w:hAnsi="宋体" w:cs="宋体"/>
                <w:color w:val="000000"/>
                <w:kern w:val="0"/>
                <w:lang w:bidi="ar"/>
              </w:rPr>
              <w:t xml:space="preserve">异地医保   </w:t>
            </w:r>
            <w:r>
              <w:rPr>
                <w:rStyle w:val="231"/>
                <w:rFonts w:hint="default"/>
                <w:sz w:val="21"/>
                <w:szCs w:val="21"/>
                <w:lang w:bidi="ar"/>
              </w:rPr>
              <w:t>□</w:t>
            </w:r>
            <w:r>
              <w:rPr>
                <w:rFonts w:hint="eastAsia" w:ascii="宋体" w:hAnsi="宋体" w:cs="宋体"/>
                <w:color w:val="000000"/>
                <w:kern w:val="0"/>
                <w:lang w:bidi="ar"/>
              </w:rPr>
              <w:t xml:space="preserve">特殊疾病医保   </w:t>
            </w:r>
            <w:r>
              <w:rPr>
                <w:rStyle w:val="231"/>
                <w:rFonts w:hint="default"/>
                <w:sz w:val="21"/>
                <w:szCs w:val="21"/>
                <w:lang w:bidi="ar"/>
              </w:rPr>
              <w:t>□</w:t>
            </w:r>
            <w:r>
              <w:rPr>
                <w:rFonts w:hint="eastAsia" w:ascii="宋体" w:hAnsi="宋体" w:cs="宋体"/>
                <w:color w:val="000000"/>
                <w:kern w:val="0"/>
                <w:lang w:bidi="ar"/>
              </w:rPr>
              <w:t xml:space="preserve">自费   </w:t>
            </w:r>
            <w:r>
              <w:rPr>
                <w:rStyle w:val="231"/>
                <w:rFonts w:hint="default"/>
                <w:sz w:val="21"/>
                <w:szCs w:val="21"/>
                <w:lang w:bidi="ar"/>
              </w:rPr>
              <w:t>□</w:t>
            </w:r>
            <w:r>
              <w:rPr>
                <w:rFonts w:hint="eastAsia" w:ascii="宋体" w:hAnsi="宋体" w:cs="宋体"/>
                <w:color w:val="000000"/>
                <w:kern w:val="0"/>
                <w:lang w:bidi="ar"/>
              </w:rPr>
              <w:t>商保</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24"/>
              </w:rPr>
            </w:pPr>
            <w:r>
              <w:rPr>
                <w:rFonts w:hint="eastAsia" w:ascii="宋体" w:hAnsi="宋体" w:cs="宋体"/>
                <w:color w:val="000000"/>
                <w:kern w:val="0"/>
                <w:lang w:bidi="ar"/>
              </w:rPr>
              <w:t>患者关心的问题</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b/>
                <w:bCs/>
                <w:color w:val="000000"/>
              </w:rPr>
            </w:pPr>
            <w:r>
              <w:rPr>
                <w:rFonts w:ascii="宋体" w:hAnsi="宋体" w:cs="宋体"/>
                <w:b/>
                <w:bCs/>
                <w:color w:val="000000"/>
                <w:kern w:val="0"/>
                <w:lang w:bidi="ar"/>
              </w:rPr>
              <w:t>D</w:t>
            </w:r>
            <w:r>
              <w:rPr>
                <w:rFonts w:hint="eastAsia" w:ascii="宋体" w:hAnsi="宋体" w:cs="宋体"/>
                <w:b/>
                <w:bCs/>
                <w:color w:val="000000"/>
                <w:kern w:val="0"/>
                <w:lang w:bidi="ar"/>
              </w:rPr>
              <w:t>.2 生活习惯</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r>
              <w:rPr>
                <w:rFonts w:hint="eastAsia" w:ascii="宋体" w:hAnsi="宋体" w:cs="宋体"/>
                <w:color w:val="000000"/>
                <w:kern w:val="0"/>
                <w:lang w:bidi="ar"/>
              </w:rPr>
              <w:t>饮食</w:t>
            </w:r>
          </w:p>
        </w:tc>
        <w:tc>
          <w:tcPr>
            <w:tcW w:w="821"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c>
          <w:tcPr>
            <w:tcW w:w="895" w:type="pct"/>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睡眠</w:t>
            </w:r>
          </w:p>
        </w:tc>
        <w:tc>
          <w:tcPr>
            <w:tcW w:w="537"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747"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运动</w:t>
            </w:r>
          </w:p>
        </w:tc>
        <w:tc>
          <w:tcPr>
            <w:tcW w:w="731"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不良啫好</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r>
              <w:rPr>
                <w:rStyle w:val="231"/>
                <w:rFonts w:hint="default"/>
                <w:sz w:val="21"/>
                <w:szCs w:val="21"/>
                <w:lang w:bidi="ar"/>
              </w:rPr>
              <w:t>□</w:t>
            </w:r>
            <w:r>
              <w:rPr>
                <w:rFonts w:hint="eastAsia" w:ascii="宋体" w:hAnsi="宋体" w:cs="宋体"/>
                <w:color w:val="000000"/>
                <w:kern w:val="0"/>
                <w:lang w:bidi="ar"/>
              </w:rPr>
              <w:t xml:space="preserve">烟            </w:t>
            </w:r>
            <w:r>
              <w:rPr>
                <w:rStyle w:val="231"/>
                <w:rFonts w:hint="default"/>
                <w:sz w:val="21"/>
                <w:szCs w:val="21"/>
                <w:lang w:bidi="ar"/>
              </w:rPr>
              <w:t>□</w:t>
            </w:r>
            <w:r>
              <w:rPr>
                <w:rFonts w:hint="eastAsia" w:ascii="宋体" w:hAnsi="宋体" w:cs="宋体"/>
                <w:color w:val="000000"/>
                <w:kern w:val="0"/>
                <w:lang w:bidi="ar"/>
              </w:rPr>
              <w:t xml:space="preserve">酒          </w:t>
            </w:r>
            <w:r>
              <w:rPr>
                <w:rStyle w:val="231"/>
                <w:rFonts w:hint="default"/>
                <w:sz w:val="21"/>
                <w:szCs w:val="21"/>
                <w:lang w:bidi="ar"/>
              </w:rPr>
              <w:t>□</w:t>
            </w:r>
            <w:r>
              <w:rPr>
                <w:rFonts w:hint="eastAsia" w:ascii="宋体" w:hAnsi="宋体" w:cs="宋体"/>
                <w:color w:val="000000"/>
                <w:kern w:val="0"/>
                <w:lang w:bidi="ar"/>
              </w:rPr>
              <w:t>其他</w:t>
            </w: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b/>
                <w:bCs/>
                <w:color w:val="000000"/>
              </w:rPr>
            </w:pPr>
            <w:r>
              <w:rPr>
                <w:rFonts w:ascii="宋体" w:hAnsi="宋体" w:cs="宋体"/>
                <w:b/>
                <w:bCs/>
                <w:color w:val="000000"/>
                <w:kern w:val="0"/>
                <w:lang w:bidi="ar"/>
              </w:rPr>
              <w:t>D</w:t>
            </w:r>
            <w:r>
              <w:rPr>
                <w:rFonts w:hint="eastAsia" w:ascii="宋体" w:hAnsi="宋体" w:cs="宋体"/>
                <w:b/>
                <w:bCs/>
                <w:color w:val="000000"/>
                <w:kern w:val="0"/>
                <w:lang w:bidi="ar"/>
              </w:rPr>
              <w:t>.3 客观情况</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24"/>
              </w:rPr>
            </w:pPr>
            <w:r>
              <w:rPr>
                <w:rFonts w:hint="eastAsia" w:ascii="宋体" w:hAnsi="宋体" w:cs="宋体"/>
                <w:color w:val="000000"/>
                <w:kern w:val="0"/>
                <w:lang w:bidi="ar"/>
              </w:rPr>
              <w:t>客观指标</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24"/>
              </w:rPr>
            </w:pPr>
            <w:r>
              <w:rPr>
                <w:rFonts w:hint="eastAsia" w:ascii="宋体" w:hAnsi="宋体" w:cs="宋体"/>
                <w:color w:val="000000"/>
                <w:kern w:val="0"/>
                <w:lang w:bidi="ar"/>
              </w:rPr>
              <w:t>实验室检查指标</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24"/>
              </w:rPr>
            </w:pPr>
            <w:r>
              <w:rPr>
                <w:rFonts w:hint="eastAsia" w:ascii="宋体" w:hAnsi="宋体" w:cs="宋体"/>
                <w:color w:val="000000"/>
                <w:kern w:val="0"/>
                <w:lang w:bidi="ar"/>
              </w:rPr>
              <w:t>病理学检查结果</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b/>
                <w:bCs/>
                <w:color w:val="000000"/>
                <w:sz w:val="24"/>
              </w:rPr>
            </w:pPr>
            <w:r>
              <w:rPr>
                <w:rFonts w:ascii="宋体" w:hAnsi="宋体" w:cs="宋体"/>
                <w:b/>
                <w:bCs/>
                <w:color w:val="000000"/>
                <w:kern w:val="0"/>
                <w:sz w:val="24"/>
                <w:szCs w:val="24"/>
                <w:lang w:bidi="ar"/>
              </w:rPr>
              <w:t>D</w:t>
            </w:r>
            <w:r>
              <w:rPr>
                <w:rFonts w:hint="eastAsia" w:ascii="宋体" w:hAnsi="宋体" w:cs="宋体"/>
                <w:b/>
                <w:bCs/>
                <w:color w:val="000000"/>
                <w:kern w:val="0"/>
                <w:sz w:val="24"/>
                <w:szCs w:val="24"/>
                <w:lang w:bidi="ar"/>
              </w:rPr>
              <w:t>.4 疾病情况</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r>
              <w:rPr>
                <w:rFonts w:hint="eastAsia" w:ascii="宋体" w:hAnsi="宋体" w:cs="宋体"/>
                <w:color w:val="000000"/>
                <w:kern w:val="0"/>
                <w:lang w:bidi="ar"/>
              </w:rPr>
              <w:t>疾病诊断</w:t>
            </w:r>
          </w:p>
        </w:tc>
        <w:tc>
          <w:tcPr>
            <w:tcW w:w="128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c>
          <w:tcPr>
            <w:tcW w:w="950" w:type="pct"/>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诊断时间</w:t>
            </w:r>
          </w:p>
        </w:tc>
        <w:tc>
          <w:tcPr>
            <w:tcW w:w="1494" w:type="pct"/>
            <w:gridSpan w:val="5"/>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r>
              <w:rPr>
                <w:rFonts w:hint="eastAsia" w:ascii="宋体" w:hAnsi="宋体" w:cs="宋体"/>
                <w:color w:val="000000"/>
                <w:kern w:val="0"/>
                <w:lang w:bidi="ar"/>
              </w:rPr>
              <w:t>银屑病临床表现和分型</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rPr>
            </w:pPr>
            <w:r>
              <w:rPr>
                <w:rFonts w:hint="eastAsia" w:ascii="宋体" w:hAnsi="宋体" w:cs="宋体"/>
                <w:color w:val="000000"/>
                <w:kern w:val="0"/>
                <w:lang w:bidi="ar"/>
              </w:rPr>
              <w:t>银屑病严重程度分级</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银屑病共病</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widowControl/>
              <w:jc w:val="left"/>
              <w:textAlignment w:val="center"/>
              <w:rPr>
                <w:rFonts w:ascii="宋体" w:hAnsi="宋体" w:cs="宋体"/>
                <w:color w:val="000000"/>
              </w:rPr>
            </w:pPr>
            <w:r>
              <w:rPr>
                <w:rFonts w:ascii="宋体" w:hAnsi="宋体" w:cs="宋体"/>
                <w:b/>
                <w:bCs/>
                <w:color w:val="000000"/>
                <w:kern w:val="0"/>
                <w:lang w:bidi="ar"/>
              </w:rPr>
              <w:t>D</w:t>
            </w:r>
            <w:r>
              <w:rPr>
                <w:rFonts w:hint="eastAsia" w:ascii="宋体" w:hAnsi="宋体" w:cs="宋体"/>
                <w:b/>
                <w:bCs/>
                <w:color w:val="000000"/>
                <w:kern w:val="0"/>
                <w:lang w:bidi="ar"/>
              </w:rPr>
              <w:t>.5 患者治疗情况</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rPr>
              <w:t>外用药治疗</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rPr>
              <w:t>物理疗法</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rPr>
              <w:t>中医中药</w:t>
            </w:r>
          </w:p>
        </w:tc>
        <w:tc>
          <w:tcPr>
            <w:tcW w:w="3731" w:type="pct"/>
            <w:gridSpan w:val="1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rPr>
            </w:pPr>
            <w:r>
              <w:rPr>
                <w:rFonts w:hint="eastAsia" w:ascii="宋体" w:hAnsi="宋体" w:cs="宋体"/>
              </w:rPr>
              <w:t>心理治疗</w:t>
            </w:r>
          </w:p>
        </w:tc>
        <w:tc>
          <w:tcPr>
            <w:tcW w:w="3731" w:type="pct"/>
            <w:gridSpan w:val="1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rPr>
            </w:pPr>
            <w:r>
              <w:rPr>
                <w:rFonts w:hint="eastAsia" w:ascii="宋体" w:hAnsi="宋体" w:cs="宋体"/>
              </w:rPr>
              <w:t>其它非药物疗法</w:t>
            </w:r>
          </w:p>
        </w:tc>
        <w:tc>
          <w:tcPr>
            <w:tcW w:w="3731" w:type="pct"/>
            <w:gridSpan w:val="1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b/>
                <w:bCs/>
                <w:color w:val="000000"/>
                <w:kern w:val="0"/>
                <w:lang w:bidi="ar"/>
              </w:rPr>
            </w:pPr>
            <w:r>
              <w:rPr>
                <w:rFonts w:ascii="宋体" w:hAnsi="宋体" w:cs="宋体"/>
                <w:b/>
                <w:bCs/>
                <w:color w:val="000000"/>
                <w:kern w:val="0"/>
                <w:lang w:bidi="ar"/>
              </w:rPr>
              <w:t>D</w:t>
            </w:r>
            <w:r>
              <w:rPr>
                <w:rFonts w:hint="eastAsia" w:ascii="宋体" w:hAnsi="宋体" w:cs="宋体"/>
                <w:b/>
                <w:bCs/>
                <w:color w:val="000000"/>
                <w:kern w:val="0"/>
                <w:lang w:bidi="ar"/>
              </w:rPr>
              <w:t>.</w:t>
            </w:r>
            <w:r>
              <w:rPr>
                <w:rFonts w:ascii="宋体" w:hAnsi="宋体" w:cs="宋体"/>
                <w:b/>
                <w:bCs/>
                <w:color w:val="000000"/>
                <w:kern w:val="0"/>
                <w:lang w:bidi="ar"/>
              </w:rPr>
              <w:t>6</w:t>
            </w:r>
            <w:r>
              <w:rPr>
                <w:rFonts w:hint="eastAsia" w:ascii="宋体" w:hAnsi="宋体" w:cs="宋体"/>
                <w:b/>
                <w:bCs/>
                <w:color w:val="000000"/>
                <w:kern w:val="0"/>
                <w:lang w:bidi="ar"/>
              </w:rPr>
              <w:t>用药信息</w:t>
            </w: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D</w:t>
            </w:r>
            <w:r>
              <w:rPr>
                <w:rFonts w:hint="eastAsia" w:ascii="宋体" w:hAnsi="宋体" w:cs="宋体"/>
                <w:color w:val="000000"/>
                <w:kern w:val="0"/>
                <w:lang w:bidi="ar"/>
              </w:rPr>
              <w:t>.</w:t>
            </w:r>
            <w:r>
              <w:rPr>
                <w:rFonts w:ascii="宋体" w:hAnsi="宋体" w:cs="宋体"/>
                <w:color w:val="000000"/>
                <w:kern w:val="0"/>
                <w:lang w:bidi="ar"/>
              </w:rPr>
              <w:t>6</w:t>
            </w:r>
            <w:r>
              <w:rPr>
                <w:rFonts w:hint="eastAsia" w:ascii="宋体" w:hAnsi="宋体" w:cs="宋体"/>
                <w:color w:val="000000"/>
                <w:kern w:val="0"/>
                <w:lang w:bidi="ar"/>
              </w:rPr>
              <w:t>.1既往银屑病用药</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治疗方案</w:t>
            </w: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药物名称</w:t>
            </w:r>
          </w:p>
        </w:tc>
        <w:tc>
          <w:tcPr>
            <w:tcW w:w="895" w:type="pct"/>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用药时间</w:t>
            </w: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用法用量</w:t>
            </w: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不良反应及处置</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895" w:type="pct"/>
            <w:gridSpan w:val="3"/>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rPr>
            </w:pP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D</w:t>
            </w:r>
            <w:r>
              <w:rPr>
                <w:rFonts w:hint="eastAsia" w:ascii="宋体" w:hAnsi="宋体" w:cs="宋体"/>
                <w:color w:val="000000"/>
                <w:kern w:val="0"/>
                <w:lang w:bidi="ar"/>
              </w:rPr>
              <w:t>.</w:t>
            </w:r>
            <w:r>
              <w:rPr>
                <w:rFonts w:ascii="宋体" w:hAnsi="宋体" w:cs="宋体"/>
                <w:color w:val="000000"/>
                <w:kern w:val="0"/>
                <w:lang w:bidi="ar"/>
              </w:rPr>
              <w:t>6</w:t>
            </w:r>
            <w:r>
              <w:rPr>
                <w:rFonts w:hint="eastAsia" w:ascii="宋体" w:hAnsi="宋体" w:cs="宋体"/>
                <w:color w:val="000000"/>
                <w:kern w:val="0"/>
                <w:lang w:bidi="ar"/>
              </w:rPr>
              <w:t>.2 当前银屑病用药</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rPr>
            </w:pPr>
            <w:r>
              <w:rPr>
                <w:rFonts w:hint="eastAsia" w:ascii="宋体" w:hAnsi="宋体" w:cs="宋体"/>
                <w:color w:val="000000"/>
                <w:kern w:val="0"/>
                <w:lang w:bidi="ar"/>
              </w:rPr>
              <w:t>药物名称(商品名)</w:t>
            </w: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用法用量</w:t>
            </w:r>
          </w:p>
        </w:tc>
        <w:tc>
          <w:tcPr>
            <w:tcW w:w="895"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用药起止时间</w:t>
            </w: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rPr>
            </w:pPr>
            <w:r>
              <w:rPr>
                <w:rFonts w:hint="eastAsia" w:ascii="宋体" w:hAnsi="宋体" w:cs="宋体"/>
                <w:color w:val="000000"/>
                <w:kern w:val="0"/>
                <w:lang w:bidi="ar"/>
              </w:rPr>
              <w:t>不良反应及处置</w:t>
            </w: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rPr>
            </w:pPr>
            <w:r>
              <w:rPr>
                <w:rFonts w:hint="eastAsia" w:ascii="宋体" w:hAnsi="宋体" w:cs="宋体"/>
                <w:color w:val="000000"/>
                <w:kern w:val="0"/>
                <w:lang w:bidi="ar"/>
              </w:rPr>
              <w:t>处方医院与医生</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895"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D</w:t>
            </w:r>
            <w:r>
              <w:rPr>
                <w:rFonts w:hint="eastAsia" w:ascii="宋体" w:hAnsi="宋体" w:cs="宋体"/>
                <w:color w:val="000000"/>
                <w:kern w:val="0"/>
                <w:lang w:bidi="ar"/>
              </w:rPr>
              <w:t>.</w:t>
            </w:r>
            <w:r>
              <w:rPr>
                <w:rFonts w:ascii="宋体" w:hAnsi="宋体" w:cs="宋体"/>
                <w:color w:val="000000"/>
                <w:kern w:val="0"/>
                <w:lang w:bidi="ar"/>
              </w:rPr>
              <w:t>6</w:t>
            </w:r>
            <w:r>
              <w:rPr>
                <w:rFonts w:hint="eastAsia" w:ascii="宋体" w:hAnsi="宋体" w:cs="宋体"/>
                <w:color w:val="000000"/>
                <w:kern w:val="0"/>
                <w:lang w:bidi="ar"/>
              </w:rPr>
              <w:t>.3 当前其他用药( (包括处方药、 非处方药，中草药，保健 话、营养补充品等)</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rPr>
            </w:pPr>
            <w:r>
              <w:rPr>
                <w:rFonts w:hint="eastAsia" w:ascii="宋体" w:hAnsi="宋体" w:cs="宋体"/>
                <w:color w:val="000000"/>
                <w:kern w:val="0"/>
                <w:lang w:bidi="ar"/>
              </w:rPr>
              <w:t>药物名称(商品名)</w:t>
            </w: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用法用量</w:t>
            </w:r>
          </w:p>
        </w:tc>
        <w:tc>
          <w:tcPr>
            <w:tcW w:w="895"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用药起止时间</w:t>
            </w: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lang w:bidi="ar"/>
              </w:rPr>
            </w:pPr>
            <w:r>
              <w:rPr>
                <w:rFonts w:hint="eastAsia" w:ascii="宋体" w:hAnsi="宋体" w:cs="宋体"/>
                <w:color w:val="000000"/>
                <w:kern w:val="0"/>
                <w:lang w:bidi="ar"/>
              </w:rPr>
              <w:t>不良反应及处置</w:t>
            </w: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rPr>
            </w:pPr>
            <w:r>
              <w:rPr>
                <w:rFonts w:hint="eastAsia" w:ascii="宋体" w:hAnsi="宋体" w:cs="宋体"/>
                <w:color w:val="000000"/>
                <w:kern w:val="0"/>
                <w:lang w:bidi="ar"/>
              </w:rPr>
              <w:t>处方医院与医生</w:t>
            </w:r>
          </w:p>
        </w:tc>
      </w:tr>
      <w:tr>
        <w:tblPrEx>
          <w:tblCellMar>
            <w:top w:w="0" w:type="dxa"/>
            <w:left w:w="108" w:type="dxa"/>
            <w:bottom w:w="0" w:type="dxa"/>
            <w:right w:w="108" w:type="dxa"/>
          </w:tblCellMar>
        </w:tblPrEx>
        <w:trPr>
          <w:trHeight w:val="397" w:hRule="atLeast"/>
        </w:trPr>
        <w:tc>
          <w:tcPr>
            <w:tcW w:w="1269" w:type="pct"/>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821" w:type="pct"/>
            <w:gridSpan w:val="2"/>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rPr>
            </w:pPr>
          </w:p>
        </w:tc>
        <w:tc>
          <w:tcPr>
            <w:tcW w:w="895"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1047" w:type="pct"/>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rPr>
            </w:pPr>
          </w:p>
        </w:tc>
        <w:tc>
          <w:tcPr>
            <w:tcW w:w="968" w:type="pct"/>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5000" w:type="pct"/>
            <w:gridSpan w:val="14"/>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hAnsi="宋体" w:cs="宋体"/>
                <w:color w:val="000000"/>
              </w:rPr>
            </w:pPr>
            <w:r>
              <w:rPr>
                <w:rFonts w:hint="eastAsia" w:ascii="宋体" w:hAnsi="宋体" w:cs="宋体"/>
                <w:color w:val="000000"/>
                <w:kern w:val="0"/>
                <w:lang w:bidi="ar"/>
              </w:rPr>
              <w:t>注1:客观指标可填写身高、体重、体重指数、体表面积、血压、心率。</w:t>
            </w:r>
            <w:r>
              <w:rPr>
                <w:rFonts w:hint="eastAsia" w:ascii="宋体" w:hAnsi="宋体" w:cs="宋体"/>
                <w:color w:val="000000"/>
                <w:kern w:val="0"/>
                <w:lang w:bidi="ar"/>
              </w:rPr>
              <w:br w:type="textWrapping"/>
            </w:r>
            <w:r>
              <w:rPr>
                <w:rFonts w:hint="eastAsia" w:ascii="宋体" w:hAnsi="宋体" w:cs="宋体"/>
                <w:color w:val="000000"/>
                <w:kern w:val="0"/>
                <w:lang w:bidi="ar"/>
              </w:rPr>
              <w:t>注2:实验室检查指标有血常规包括血红蛋白含量和红细胞、白细胞、血小板计数;尿常规包括酸碱度、尿糖、蛋白质、各种细胞等;</w:t>
            </w:r>
            <w:r>
              <w:rPr>
                <w:rFonts w:hint="eastAsia" w:ascii="宋体" w:hAnsi="宋体" w:cs="宋体"/>
                <w:kern w:val="0"/>
                <w:lang w:bidi="ar"/>
              </w:rPr>
              <w:t>大便常规包括性状、细胞计数、潜血等。</w:t>
            </w:r>
            <w:r>
              <w:rPr>
                <w:rFonts w:hint="eastAsia" w:ascii="宋体" w:hAnsi="宋体" w:cs="宋体"/>
                <w:kern w:val="0"/>
                <w:lang w:bidi="ar"/>
              </w:rPr>
              <w:br w:type="textWrapping"/>
            </w:r>
            <w:r>
              <w:rPr>
                <w:rFonts w:hint="eastAsia" w:ascii="宋体" w:hAnsi="宋体" w:cs="宋体"/>
                <w:kern w:val="0"/>
                <w:lang w:bidi="ar"/>
              </w:rPr>
              <w:t>注3:病理学等检查结果可填写病理学检查、脏腑功能检查、X线检查等。</w:t>
            </w:r>
            <w:r>
              <w:rPr>
                <w:rFonts w:hint="eastAsia" w:ascii="宋体" w:hAnsi="宋体" w:cs="宋体"/>
                <w:kern w:val="0"/>
                <w:lang w:bidi="ar"/>
              </w:rPr>
              <w:br w:type="textWrapping"/>
            </w:r>
            <w:r>
              <w:rPr>
                <w:rFonts w:hint="eastAsia" w:ascii="宋体" w:hAnsi="宋体" w:cs="宋体"/>
                <w:kern w:val="0"/>
                <w:lang w:bidi="ar"/>
              </w:rPr>
              <w:t>注4:临床表现和分型可填写</w:t>
            </w:r>
            <w:r>
              <w:rPr>
                <w:rFonts w:hint="eastAsia"/>
              </w:rPr>
              <w:t>寻常型银屑病</w:t>
            </w:r>
            <w:r>
              <w:rPr>
                <w:rFonts w:hint="eastAsia" w:ascii="宋体" w:hAnsi="宋体" w:cs="宋体"/>
                <w:kern w:val="0"/>
                <w:lang w:bidi="ar"/>
              </w:rPr>
              <w:t>、</w:t>
            </w:r>
            <w:r>
              <w:rPr>
                <w:rFonts w:hint="eastAsia"/>
              </w:rPr>
              <w:t>脓疱型银屑病</w:t>
            </w:r>
            <w:r>
              <w:rPr>
                <w:rFonts w:hint="eastAsia" w:ascii="宋体" w:hAnsi="宋体" w:cs="宋体"/>
                <w:kern w:val="0"/>
                <w:lang w:bidi="ar"/>
              </w:rPr>
              <w:t>，</w:t>
            </w:r>
            <w:r>
              <w:rPr>
                <w:rFonts w:hint="eastAsia"/>
              </w:rPr>
              <w:t>红皮病型银屑病</w:t>
            </w:r>
            <w:r>
              <w:rPr>
                <w:rFonts w:hint="eastAsia" w:ascii="宋体" w:hAnsi="宋体" w:cs="宋体"/>
                <w:kern w:val="0"/>
                <w:lang w:bidi="ar"/>
              </w:rPr>
              <w:t>、</w:t>
            </w:r>
            <w:r>
              <w:rPr>
                <w:rFonts w:hint="eastAsia"/>
              </w:rPr>
              <w:t>关节病型银屑病</w:t>
            </w:r>
            <w:r>
              <w:rPr>
                <w:rFonts w:hint="eastAsia" w:ascii="宋体" w:hAnsi="宋体" w:cs="宋体"/>
                <w:kern w:val="0"/>
                <w:lang w:bidi="ar"/>
              </w:rPr>
              <w:t>、</w:t>
            </w:r>
            <w:r>
              <w:rPr>
                <w:rFonts w:hint="eastAsia"/>
              </w:rPr>
              <w:t>特殊部位银屑病</w:t>
            </w:r>
            <w:r>
              <w:rPr>
                <w:rFonts w:hint="eastAsia" w:ascii="宋体" w:hAnsi="宋体" w:cs="宋体"/>
                <w:kern w:val="0"/>
                <w:lang w:bidi="ar"/>
              </w:rPr>
              <w:t>等。</w:t>
            </w:r>
            <w:r>
              <w:rPr>
                <w:rFonts w:hint="eastAsia" w:ascii="宋体" w:hAnsi="宋体" w:cs="宋体"/>
                <w:kern w:val="0"/>
                <w:lang w:bidi="ar"/>
              </w:rPr>
              <w:br w:type="textWrapping"/>
            </w:r>
            <w:r>
              <w:rPr>
                <w:rFonts w:hint="eastAsia" w:ascii="宋体" w:hAnsi="宋体" w:cs="宋体"/>
                <w:kern w:val="0"/>
                <w:lang w:bidi="ar"/>
              </w:rPr>
              <w:t>注5:银屑病严重程度分级可填写Ⅰ期、Ⅱ期、Ⅲ期、Ⅳ期。</w:t>
            </w:r>
            <w:r>
              <w:rPr>
                <w:rFonts w:hint="eastAsia" w:ascii="宋体" w:hAnsi="宋体" w:cs="宋体"/>
                <w:kern w:val="0"/>
                <w:lang w:bidi="ar"/>
              </w:rPr>
              <w:br w:type="textWrapping"/>
            </w:r>
            <w:r>
              <w:rPr>
                <w:rFonts w:hint="eastAsia" w:ascii="宋体" w:hAnsi="宋体" w:cs="宋体"/>
                <w:kern w:val="0"/>
                <w:lang w:bidi="ar"/>
              </w:rPr>
              <w:t>注6:银屑病共病可填写血脂异常、糖尿病、代谢综合征、动脉粥样硬化性心血管疾病和慢性肾脏疾病等共病。</w:t>
            </w:r>
          </w:p>
        </w:tc>
      </w:tr>
    </w:tbl>
    <w:p>
      <w:pPr>
        <w:pStyle w:val="56"/>
        <w:ind w:firstLine="420"/>
      </w:pPr>
    </w:p>
    <w:p>
      <w:pPr>
        <w:pStyle w:val="56"/>
        <w:ind w:firstLine="420"/>
      </w:pPr>
    </w:p>
    <w:p>
      <w:pPr>
        <w:pStyle w:val="56"/>
        <w:ind w:firstLine="420"/>
      </w:pPr>
    </w:p>
    <w:p>
      <w:pPr>
        <w:pStyle w:val="56"/>
        <w:ind w:firstLine="420"/>
      </w:pPr>
    </w:p>
    <w:p>
      <w:pPr>
        <w:pStyle w:val="56"/>
        <w:ind w:firstLine="0" w:firstLineChars="0"/>
        <w:sectPr>
          <w:pgSz w:w="11906" w:h="16838"/>
          <w:pgMar w:top="1928" w:right="1134" w:bottom="1134" w:left="1134" w:header="1418" w:footer="1134" w:gutter="284"/>
          <w:cols w:space="425" w:num="1"/>
          <w:formProt w:val="0"/>
          <w:docGrid w:linePitch="312" w:charSpace="0"/>
        </w:sectPr>
      </w:pPr>
    </w:p>
    <w:p>
      <w:pPr>
        <w:pStyle w:val="198"/>
        <w:rPr>
          <w:vanish w:val="0"/>
        </w:rPr>
      </w:pPr>
    </w:p>
    <w:p>
      <w:pPr>
        <w:pStyle w:val="199"/>
        <w:rPr>
          <w:vanish w:val="0"/>
        </w:rPr>
      </w:pPr>
    </w:p>
    <w:p>
      <w:pPr>
        <w:pStyle w:val="76"/>
        <w:spacing w:after="120"/>
      </w:pPr>
      <w:r>
        <w:br w:type="textWrapping"/>
      </w:r>
      <w:bookmarkStart w:id="131" w:name="_Toc147914519"/>
      <w:bookmarkStart w:id="132" w:name="_Toc147921962"/>
      <w:r>
        <w:rPr>
          <w:rFonts w:hint="eastAsia"/>
        </w:rPr>
        <w:t>（资料性）</w:t>
      </w:r>
      <w:r>
        <w:br w:type="textWrapping"/>
      </w:r>
      <w:r>
        <w:rPr>
          <w:rFonts w:hint="eastAsia"/>
        </w:rPr>
        <w:t>药物治疗方案评估与干预记录表</w:t>
      </w:r>
      <w:bookmarkEnd w:id="131"/>
      <w:bookmarkEnd w:id="132"/>
    </w:p>
    <w:p>
      <w:pPr>
        <w:pStyle w:val="56"/>
        <w:ind w:firstLine="420"/>
        <w:rPr>
          <w:rFonts w:hint="eastAsia"/>
        </w:rPr>
      </w:pPr>
      <w:r>
        <w:rPr>
          <w:rFonts w:hint="eastAsia"/>
        </w:rPr>
        <w:t>药物治疗方案评估与干预记录表见表E</w:t>
      </w:r>
      <w:r>
        <w:t>.1</w:t>
      </w:r>
    </w:p>
    <w:p>
      <w:pPr>
        <w:pStyle w:val="77"/>
        <w:spacing w:before="120" w:after="120"/>
        <w:rPr>
          <w:rFonts w:hint="eastAsia"/>
        </w:rPr>
      </w:pPr>
      <w:r>
        <w:rPr>
          <w:rFonts w:hint="eastAsia"/>
        </w:rPr>
        <w:t>药物治疗方案评估与干预记录表</w:t>
      </w:r>
    </w:p>
    <w:tbl>
      <w:tblPr>
        <w:tblStyle w:val="26"/>
        <w:tblW w:w="5080" w:type="pct"/>
        <w:tblInd w:w="0" w:type="dxa"/>
        <w:tblLayout w:type="fixed"/>
        <w:tblCellMar>
          <w:top w:w="0" w:type="dxa"/>
          <w:left w:w="108" w:type="dxa"/>
          <w:bottom w:w="0" w:type="dxa"/>
          <w:right w:w="108" w:type="dxa"/>
        </w:tblCellMar>
      </w:tblPr>
      <w:tblGrid>
        <w:gridCol w:w="2430"/>
        <w:gridCol w:w="2430"/>
        <w:gridCol w:w="2431"/>
        <w:gridCol w:w="2431"/>
      </w:tblGrid>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.1 药物治疗方案</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药物治疗方案</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.2用药评估与干预</w:t>
            </w: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.2.1对患者的药物治疗方案通宜性进行评估</w:t>
            </w:r>
          </w:p>
        </w:tc>
      </w:tr>
      <w:tr>
        <w:tblPrEx>
          <w:tblCellMar>
            <w:top w:w="0" w:type="dxa"/>
            <w:left w:w="108" w:type="dxa"/>
            <w:bottom w:w="0" w:type="dxa"/>
            <w:right w:w="108" w:type="dxa"/>
          </w:tblCellMar>
        </w:tblPrEx>
        <w:trPr>
          <w:trHeight w:val="400" w:hRule="atLeast"/>
        </w:trPr>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是否适应证内用药?</w:t>
            </w:r>
          </w:p>
        </w:tc>
        <w:tc>
          <w:tcPr>
            <w:tcW w:w="125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是</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 xml:space="preserve">否 超适应证用药,有指南或文献支持? </w:t>
            </w:r>
            <w:r>
              <w:rPr>
                <w:rFonts w:hint="eastAsia" w:ascii="宋体" w:hAnsi="宋体" w:cs="宋体"/>
                <w:color w:val="000000"/>
                <w:kern w:val="0"/>
                <w:sz w:val="20"/>
                <w:szCs w:val="20"/>
                <w:lang w:bidi="ar"/>
              </w:rPr>
              <w:t>口</w:t>
            </w:r>
            <w:r>
              <w:rPr>
                <w:rFonts w:hint="eastAsia" w:ascii="宋体" w:hAnsi="宋体" w:cs="宋体"/>
                <w:color w:val="000000"/>
                <w:kern w:val="0"/>
                <w:lang w:bidi="ar"/>
              </w:rPr>
              <w:t>是</w:t>
            </w:r>
            <w:r>
              <w:rPr>
                <w:rFonts w:hint="eastAsia" w:ascii="宋体" w:hAnsi="宋体" w:cs="宋体"/>
                <w:color w:val="000000"/>
                <w:kern w:val="0"/>
                <w:sz w:val="20"/>
                <w:szCs w:val="20"/>
                <w:lang w:bidi="ar"/>
              </w:rPr>
              <w:t xml:space="preserve"> 口</w:t>
            </w:r>
            <w:r>
              <w:rPr>
                <w:rFonts w:hint="eastAsia" w:ascii="宋体" w:hAnsi="宋体" w:cs="宋体"/>
                <w:color w:val="000000"/>
                <w:kern w:val="0"/>
                <w:lang w:bidi="ar"/>
              </w:rPr>
              <w:t>否</w:t>
            </w:r>
          </w:p>
        </w:tc>
      </w:tr>
      <w:tr>
        <w:tblPrEx>
          <w:tblCellMar>
            <w:top w:w="0" w:type="dxa"/>
            <w:left w:w="108" w:type="dxa"/>
            <w:bottom w:w="0" w:type="dxa"/>
            <w:right w:w="108" w:type="dxa"/>
          </w:tblCellMar>
        </w:tblPrEx>
        <w:trPr>
          <w:trHeight w:val="400" w:hRule="atLeast"/>
        </w:trPr>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0"/>
                <w:szCs w:val="20"/>
              </w:rPr>
            </w:pPr>
          </w:p>
        </w:tc>
        <w:tc>
          <w:tcPr>
            <w:tcW w:w="125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0"/>
                <w:szCs w:val="20"/>
              </w:rPr>
            </w:pPr>
          </w:p>
        </w:tc>
      </w:tr>
      <w:tr>
        <w:tblPrEx>
          <w:tblCellMar>
            <w:top w:w="0" w:type="dxa"/>
            <w:left w:w="108" w:type="dxa"/>
            <w:bottom w:w="0" w:type="dxa"/>
            <w:right w:w="108" w:type="dxa"/>
          </w:tblCellMar>
        </w:tblPrEx>
        <w:trPr>
          <w:trHeight w:val="400" w:hRule="atLeast"/>
        </w:trPr>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是否有不必要的药物治疗?</w:t>
            </w:r>
          </w:p>
        </w:tc>
        <w:tc>
          <w:tcPr>
            <w:tcW w:w="125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是，如:无适应证/用药重复/无效药物/其他</w:t>
            </w:r>
          </w:p>
        </w:tc>
      </w:tr>
      <w:tr>
        <w:tblPrEx>
          <w:tblCellMar>
            <w:top w:w="0" w:type="dxa"/>
            <w:left w:w="108" w:type="dxa"/>
            <w:bottom w:w="0" w:type="dxa"/>
            <w:right w:w="108" w:type="dxa"/>
          </w:tblCellMar>
        </w:tblPrEx>
        <w:trPr>
          <w:trHeight w:val="400" w:hRule="atLeast"/>
        </w:trPr>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0"/>
                <w:szCs w:val="20"/>
              </w:rPr>
            </w:pPr>
          </w:p>
        </w:tc>
        <w:tc>
          <w:tcPr>
            <w:tcW w:w="125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0"/>
                <w:szCs w:val="20"/>
              </w:rPr>
            </w:pPr>
          </w:p>
        </w:tc>
      </w:tr>
      <w:tr>
        <w:tblPrEx>
          <w:tblCellMar>
            <w:top w:w="0" w:type="dxa"/>
            <w:left w:w="108" w:type="dxa"/>
            <w:bottom w:w="0" w:type="dxa"/>
            <w:right w:w="108" w:type="dxa"/>
          </w:tblCellMar>
        </w:tblPrEx>
        <w:trPr>
          <w:trHeight w:val="400" w:hRule="atLeast"/>
        </w:trPr>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是否有需要增加的药物治疗?</w:t>
            </w:r>
          </w:p>
        </w:tc>
        <w:tc>
          <w:tcPr>
            <w:tcW w:w="1250" w:type="pct"/>
            <w:gridSpan w:val="3"/>
            <w:vMerge w:val="restart"/>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是，如:存在未治疗的病情或疾病/应给予预防性药物治疗/需合并其他药物增加疗效</w:t>
            </w:r>
          </w:p>
        </w:tc>
      </w:tr>
      <w:tr>
        <w:tblPrEx>
          <w:tblCellMar>
            <w:top w:w="0" w:type="dxa"/>
            <w:left w:w="108" w:type="dxa"/>
            <w:bottom w:w="0" w:type="dxa"/>
            <w:right w:w="108" w:type="dxa"/>
          </w:tblCellMar>
        </w:tblPrEx>
        <w:trPr>
          <w:trHeight w:val="400" w:hRule="atLeast"/>
        </w:trPr>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0"/>
                <w:szCs w:val="20"/>
              </w:rPr>
            </w:pPr>
          </w:p>
        </w:tc>
        <w:tc>
          <w:tcPr>
            <w:tcW w:w="1250" w:type="pct"/>
            <w:gridSpan w:val="3"/>
            <w:vMerge w:val="continue"/>
            <w:tcBorders>
              <w:top w:val="single" w:color="000000" w:sz="4" w:space="0"/>
              <w:left w:val="nil"/>
              <w:bottom w:val="single" w:color="000000" w:sz="4" w:space="0"/>
              <w:right w:val="single" w:color="000000" w:sz="4" w:space="0"/>
            </w:tcBorders>
            <w:shd w:val="clear" w:color="auto" w:fill="auto"/>
            <w:vAlign w:val="center"/>
          </w:tcPr>
          <w:p>
            <w:pPr>
              <w:jc w:val="left"/>
              <w:rPr>
                <w:rFonts w:ascii="宋体" w:hAnsi="宋体" w:cs="宋体"/>
                <w:color w:val="000000"/>
                <w:sz w:val="20"/>
                <w:szCs w:val="20"/>
              </w:rPr>
            </w:pP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.2</w:t>
            </w:r>
            <w:r>
              <w:rPr>
                <w:rFonts w:ascii="宋体" w:hAnsi="宋体" w:cs="宋体"/>
                <w:color w:val="000000"/>
                <w:kern w:val="0"/>
                <w:lang w:bidi="ar"/>
              </w:rPr>
              <w:t>.2</w:t>
            </w:r>
            <w:r>
              <w:rPr>
                <w:rFonts w:hint="eastAsia" w:ascii="宋体" w:hAnsi="宋体" w:cs="宋体"/>
                <w:color w:val="000000"/>
                <w:kern w:val="0"/>
                <w:lang w:bidi="ar"/>
              </w:rPr>
              <w:t>对患者的药物治疗方案有效性进行评估</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药物治疗方案是否有效?</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 xml:space="preserve">否 </w:t>
            </w:r>
            <w:r>
              <w:rPr>
                <w:rStyle w:val="231"/>
                <w:rFonts w:hint="default"/>
                <w:sz w:val="21"/>
                <w:szCs w:val="21"/>
                <w:lang w:bidi="ar"/>
              </w:rPr>
              <w:t>□</w:t>
            </w:r>
            <w:r>
              <w:rPr>
                <w:rFonts w:hint="eastAsia" w:ascii="宋体" w:hAnsi="宋体" w:cs="宋体"/>
                <w:color w:val="000000"/>
                <w:kern w:val="0"/>
                <w:lang w:bidi="ar"/>
              </w:rPr>
              <w:t>是</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是否应选择其他药物?</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 xml:space="preserve">否 </w:t>
            </w:r>
            <w:r>
              <w:rPr>
                <w:rStyle w:val="231"/>
                <w:rFonts w:hint="default"/>
                <w:sz w:val="21"/>
                <w:szCs w:val="21"/>
                <w:lang w:bidi="ar"/>
              </w:rPr>
              <w:t>□</w:t>
            </w:r>
            <w:r>
              <w:rPr>
                <w:rFonts w:hint="eastAsia" w:ascii="宋体" w:hAnsi="宋体" w:cs="宋体"/>
                <w:color w:val="000000"/>
                <w:kern w:val="0"/>
                <w:lang w:bidi="ar"/>
              </w:rPr>
              <w:t>是，如存在治疗禁忌/药物剂型不合适/疾病治疗无效</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 xml:space="preserve">用法用量是否合理? </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sz w:val="20"/>
                <w:szCs w:val="20"/>
                <w:lang w:bidi="ar"/>
              </w:rPr>
              <w:t xml:space="preserve"> </w:t>
            </w:r>
            <w:r>
              <w:rPr>
                <w:rStyle w:val="231"/>
                <w:rFonts w:hint="default"/>
                <w:sz w:val="21"/>
                <w:szCs w:val="21"/>
                <w:lang w:bidi="ar"/>
              </w:rPr>
              <w:t>□</w:t>
            </w:r>
            <w:r>
              <w:rPr>
                <w:rFonts w:hint="eastAsia" w:ascii="宋体" w:hAnsi="宋体" w:cs="宋体"/>
                <w:color w:val="000000"/>
                <w:kern w:val="0"/>
                <w:lang w:bidi="ar"/>
              </w:rPr>
              <w:t>是,如剂量错误/给药频次不合理/药物相互作用/疗程不合理</w:t>
            </w: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.2.3 对患者的药物治疗方案安全性进行评估</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是否有药物不良反应?</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是</w:t>
            </w:r>
          </w:p>
        </w:tc>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是否有原发疾病用药风险?</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是</w:t>
            </w:r>
          </w:p>
        </w:tc>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lang w:bidi="ar"/>
              </w:rPr>
            </w:pPr>
            <w:r>
              <w:rPr>
                <w:rFonts w:hint="eastAsia" w:ascii="宋体" w:hAnsi="宋体" w:cs="宋体"/>
                <w:color w:val="000000"/>
                <w:kern w:val="0"/>
                <w:lang w:bidi="ar"/>
              </w:rPr>
              <w:t>是否有合并疾病用药风险?</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是</w:t>
            </w:r>
          </w:p>
        </w:tc>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lang w:bidi="ar"/>
              </w:rPr>
            </w:pPr>
            <w:r>
              <w:rPr>
                <w:rFonts w:hint="eastAsia" w:ascii="宋体" w:hAnsi="宋体" w:cs="宋体"/>
                <w:color w:val="000000"/>
                <w:kern w:val="0"/>
                <w:lang w:bidi="ar"/>
              </w:rPr>
              <w:t>是否有药物相互作用用药风险?</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否</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是</w:t>
            </w: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hint="eastAsia" w:ascii="宋体" w:hAnsi="宋体" w:cs="宋体"/>
                <w:color w:val="000000"/>
                <w:kern w:val="0"/>
                <w:lang w:bidi="ar"/>
              </w:rPr>
              <w:t>发生的不良反应</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rPr>
            </w:pPr>
            <w:r>
              <w:rPr>
                <w:rFonts w:hint="eastAsia" w:ascii="宋体" w:hAnsi="宋体" w:cs="宋体"/>
                <w:color w:val="000000"/>
                <w:kern w:val="0"/>
                <w:lang w:bidi="ar"/>
              </w:rPr>
              <w:t>药品名称</w:t>
            </w: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rPr>
            </w:pPr>
            <w:r>
              <w:rPr>
                <w:rFonts w:hint="eastAsia" w:ascii="宋体" w:hAnsi="宋体" w:cs="宋体"/>
                <w:color w:val="000000"/>
                <w:kern w:val="0"/>
                <w:lang w:bidi="ar"/>
              </w:rPr>
              <w:t>患者措述</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rPr>
            </w:pPr>
            <w:r>
              <w:rPr>
                <w:rFonts w:hint="eastAsia" w:ascii="宋体" w:hAnsi="宋体" w:cs="宋体"/>
                <w:color w:val="000000"/>
                <w:kern w:val="0"/>
                <w:lang w:bidi="ar"/>
              </w:rPr>
              <w:t>处理</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rPr>
            </w:pP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rPr>
            </w:pP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rPr>
            </w:pP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rPr>
            </w:pPr>
            <w:r>
              <w:rPr>
                <w:rFonts w:ascii="宋体" w:hAnsi="宋体" w:cs="宋体"/>
                <w:color w:val="000000"/>
                <w:kern w:val="0"/>
                <w:lang w:bidi="ar"/>
              </w:rPr>
              <w:t>E</w:t>
            </w:r>
            <w:r>
              <w:rPr>
                <w:rFonts w:hint="eastAsia" w:ascii="宋体" w:hAnsi="宋体" w:cs="宋体"/>
                <w:color w:val="000000"/>
                <w:kern w:val="0"/>
                <w:lang w:bidi="ar"/>
              </w:rPr>
              <w:t>.2.4对患者的药物治疗方案依从性进行评估</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rPr>
            </w:pPr>
            <w:r>
              <w:rPr>
                <w:rFonts w:hint="eastAsia" w:ascii="宋体" w:hAnsi="宋体" w:cs="宋体"/>
                <w:color w:val="000000"/>
                <w:kern w:val="0"/>
                <w:lang w:bidi="ar"/>
              </w:rPr>
              <w:t>疾病基础认知</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rPr>
            </w:pPr>
            <w:r>
              <w:rPr>
                <w:rFonts w:hint="eastAsia" w:ascii="宋体" w:hAnsi="宋体" w:cs="宋体"/>
                <w:color w:val="000000"/>
                <w:kern w:val="0"/>
                <w:lang w:bidi="ar"/>
              </w:rPr>
              <w:t>药物治疗方案理解度及依从性</w:t>
            </w:r>
          </w:p>
        </w:tc>
      </w:tr>
      <w:tr>
        <w:tblPrEx>
          <w:tblCellMar>
            <w:top w:w="0" w:type="dxa"/>
            <w:left w:w="108" w:type="dxa"/>
            <w:bottom w:w="0" w:type="dxa"/>
            <w:right w:w="108" w:type="dxa"/>
          </w:tblCellMar>
        </w:tblPrEx>
        <w:trPr>
          <w:trHeight w:val="400" w:hRule="atLeast"/>
        </w:trPr>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是否了解目前疾病的状态</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否</w:t>
            </w:r>
          </w:p>
        </w:tc>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lang w:bidi="ar"/>
              </w:rPr>
              <w:t xml:space="preserve">是否知道目前所使用药物的作用  </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否</w:t>
            </w:r>
          </w:p>
        </w:tc>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kern w:val="0"/>
                <w:lang w:bidi="ar"/>
              </w:rPr>
            </w:pPr>
            <w:r>
              <w:rPr>
                <w:rFonts w:hint="eastAsia" w:ascii="宋体" w:hAnsi="宋体" w:cs="宋体"/>
                <w:color w:val="000000"/>
                <w:kern w:val="0"/>
                <w:lang w:bidi="ar"/>
              </w:rPr>
              <w:t>是否知道正确的用法用量</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否</w:t>
            </w:r>
          </w:p>
        </w:tc>
        <w:tc>
          <w:tcPr>
            <w:tcW w:w="1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lang w:bidi="ar"/>
              </w:rPr>
              <w:t>是否知道目前药物常见的不良反应</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否</w:t>
            </w:r>
          </w:p>
        </w:tc>
      </w:tr>
      <w:tr>
        <w:tblPrEx>
          <w:tblCellMar>
            <w:top w:w="0" w:type="dxa"/>
            <w:left w:w="108" w:type="dxa"/>
            <w:bottom w:w="0" w:type="dxa"/>
            <w:right w:w="108" w:type="dxa"/>
          </w:tblCellMar>
        </w:tblPrEx>
        <w:trPr>
          <w:trHeight w:val="400" w:hRule="atLeast"/>
        </w:trPr>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0"/>
                <w:szCs w:val="20"/>
              </w:rPr>
            </w:pPr>
          </w:p>
        </w:tc>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rPr>
            </w:pPr>
            <w:r>
              <w:rPr>
                <w:rFonts w:hint="eastAsia" w:ascii="宋体" w:hAnsi="宋体" w:cs="宋体"/>
                <w:color w:val="000000"/>
                <w:kern w:val="0"/>
                <w:lang w:bidi="ar"/>
              </w:rPr>
              <w:t>不当用药行为处理预案</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是否清楚忘记服药应如何处理?</w:t>
            </w:r>
            <w:r>
              <w:rPr>
                <w:rFonts w:hint="eastAsia" w:ascii="宋体" w:hAnsi="宋体" w:cs="宋体"/>
                <w:color w:val="000000"/>
                <w:kern w:val="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 xml:space="preserve">否 </w:t>
            </w:r>
          </w:p>
        </w:tc>
        <w:tc>
          <w:tcPr>
            <w:tcW w:w="1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当病情缓解时，是否认为可以自行停用药物?</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 xml:space="preserve">否 </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当病情加重时，是否认为可以自行增加药物剂量或更换药物?</w:t>
            </w:r>
            <w:r>
              <w:rPr>
                <w:rFonts w:hint="eastAsia" w:ascii="宋体" w:hAnsi="宋体" w:cs="宋体"/>
                <w:color w:val="000000"/>
                <w:kern w:val="0"/>
                <w:sz w:val="20"/>
                <w:szCs w:val="20"/>
                <w:lang w:bidi="ar"/>
              </w:rPr>
              <w:br w:type="textWrapping"/>
            </w:r>
            <w:r>
              <w:rPr>
                <w:rStyle w:val="231"/>
                <w:rFonts w:hint="default"/>
                <w:sz w:val="21"/>
                <w:szCs w:val="21"/>
                <w:lang w:bidi="ar"/>
              </w:rPr>
              <w:t>□</w:t>
            </w:r>
            <w:r>
              <w:rPr>
                <w:rFonts w:hint="eastAsia" w:ascii="宋体" w:hAnsi="宋体" w:cs="宋体"/>
                <w:color w:val="000000"/>
                <w:kern w:val="0"/>
                <w:lang w:bidi="ar"/>
              </w:rPr>
              <w:t xml:space="preserve">是 </w:t>
            </w:r>
            <w:r>
              <w:rPr>
                <w:rStyle w:val="231"/>
                <w:rFonts w:hint="default"/>
                <w:sz w:val="21"/>
                <w:szCs w:val="21"/>
                <w:lang w:bidi="ar"/>
              </w:rPr>
              <w:t>□</w:t>
            </w:r>
            <w:r>
              <w:rPr>
                <w:rFonts w:hint="eastAsia" w:ascii="宋体" w:hAnsi="宋体" w:cs="宋体"/>
                <w:color w:val="000000"/>
                <w:kern w:val="0"/>
                <w:lang w:bidi="ar"/>
              </w:rPr>
              <w:t xml:space="preserve">否 </w:t>
            </w: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sz w:val="24"/>
              </w:rPr>
            </w:pPr>
            <w:r>
              <w:rPr>
                <w:rFonts w:ascii="宋体" w:hAnsi="宋体" w:cs="宋体"/>
                <w:color w:val="000000"/>
                <w:kern w:val="0"/>
                <w:lang w:bidi="ar"/>
              </w:rPr>
              <w:t>E</w:t>
            </w:r>
            <w:r>
              <w:rPr>
                <w:rFonts w:hint="eastAsia" w:ascii="宋体" w:hAnsi="宋体" w:cs="宋体"/>
                <w:color w:val="000000"/>
                <w:kern w:val="0"/>
                <w:lang w:bidi="ar"/>
              </w:rPr>
              <w:t>.3干预措施</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适宜性</w:t>
            </w: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kern w:val="0"/>
                <w:lang w:bidi="ar"/>
              </w:rPr>
            </w:pP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kern w:val="0"/>
                <w:lang w:bidi="ar"/>
              </w:rPr>
            </w:pPr>
            <w:r>
              <w:rPr>
                <w:rFonts w:hint="eastAsia" w:ascii="宋体" w:hAnsi="宋体" w:cs="宋体"/>
                <w:color w:val="000000"/>
                <w:kern w:val="0"/>
                <w:lang w:bidi="ar"/>
              </w:rPr>
              <w:t>安全性</w:t>
            </w: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0"/>
                <w:szCs w:val="20"/>
              </w:rPr>
            </w:pP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有效性</w:t>
            </w: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0"/>
                <w:szCs w:val="20"/>
              </w:rPr>
            </w:pP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lang w:bidi="ar"/>
              </w:rPr>
              <w:t>依从性</w:t>
            </w:r>
          </w:p>
        </w:tc>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0"/>
                <w:szCs w:val="20"/>
              </w:rPr>
            </w:pPr>
          </w:p>
        </w:tc>
      </w:tr>
      <w:tr>
        <w:tblPrEx>
          <w:tblCellMar>
            <w:top w:w="0" w:type="dxa"/>
            <w:left w:w="108" w:type="dxa"/>
            <w:bottom w:w="0" w:type="dxa"/>
            <w:right w:w="108" w:type="dxa"/>
          </w:tblCellMar>
        </w:tblPrEx>
        <w:trPr>
          <w:trHeight w:val="397" w:hRule="atLeast"/>
        </w:trPr>
        <w:tc>
          <w:tcPr>
            <w:tcW w:w="1250" w:type="pct"/>
            <w:gridSpan w:val="4"/>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left"/>
              <w:textAlignment w:val="center"/>
              <w:rPr>
                <w:rFonts w:ascii="宋体" w:hAnsi="宋体" w:cs="宋体"/>
                <w:color w:val="000000"/>
                <w:sz w:val="24"/>
              </w:rPr>
            </w:pPr>
            <w:r>
              <w:rPr>
                <w:rFonts w:ascii="宋体" w:hAnsi="宋体" w:cs="宋体"/>
                <w:color w:val="000000"/>
                <w:kern w:val="0"/>
                <w:lang w:bidi="ar"/>
              </w:rPr>
              <w:t>E</w:t>
            </w:r>
            <w:r>
              <w:rPr>
                <w:rFonts w:hint="eastAsia" w:ascii="宋体" w:hAnsi="宋体" w:cs="宋体"/>
                <w:color w:val="000000"/>
                <w:kern w:val="0"/>
                <w:lang w:bidi="ar"/>
              </w:rPr>
              <w:t>.4 用药教育</w:t>
            </w:r>
          </w:p>
        </w:tc>
      </w:tr>
      <w:tr>
        <w:tblPrEx>
          <w:tblCellMar>
            <w:top w:w="0" w:type="dxa"/>
            <w:left w:w="108" w:type="dxa"/>
            <w:bottom w:w="0" w:type="dxa"/>
            <w:right w:w="108" w:type="dxa"/>
          </w:tblCellMar>
        </w:tblPrEx>
        <w:trPr>
          <w:trHeight w:val="397" w:hRule="atLeast"/>
        </w:trPr>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lang w:bidi="ar"/>
              </w:rPr>
            </w:pPr>
            <w:r>
              <w:rPr>
                <w:rFonts w:hint="eastAsia" w:ascii="宋体" w:hAnsi="宋体" w:cs="宋体"/>
                <w:color w:val="000000"/>
                <w:kern w:val="0"/>
                <w:lang w:bidi="ar"/>
              </w:rPr>
              <w:t>剂量、给药方式、时间、频次等指导:</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lang w:bidi="ar"/>
              </w:rPr>
            </w:pPr>
            <w:r>
              <w:rPr>
                <w:rFonts w:hint="eastAsia" w:ascii="宋体" w:hAnsi="宋体" w:cs="宋体"/>
                <w:color w:val="000000"/>
                <w:kern w:val="0"/>
                <w:lang w:bidi="ar"/>
              </w:rPr>
              <w:t>可能会发生的不良反应表现：</w:t>
            </w:r>
            <w:r>
              <w:rPr>
                <w:rFonts w:hint="eastAsia" w:ascii="宋体" w:hAnsi="宋体" w:cs="宋体"/>
                <w:color w:val="000000"/>
                <w:kern w:val="0"/>
                <w:lang w:bidi="ar"/>
              </w:rPr>
              <w:br w:type="textWrapping"/>
            </w:r>
            <w:r>
              <w:rPr>
                <w:rFonts w:hint="eastAsia" w:ascii="宋体" w:hAnsi="宋体" w:cs="宋体"/>
                <w:color w:val="000000"/>
                <w:kern w:val="0"/>
                <w:lang w:bidi="ar"/>
              </w:rPr>
              <w:br w:type="textWrapping"/>
            </w:r>
            <w:r>
              <w:rPr>
                <w:rFonts w:hint="eastAsia" w:ascii="宋体" w:hAnsi="宋体" w:cs="宋体"/>
                <w:color w:val="000000"/>
                <w:kern w:val="0"/>
                <w:lang w:bidi="ar"/>
              </w:rPr>
              <w:t>出现后如何应对:</w:t>
            </w:r>
          </w:p>
        </w:tc>
      </w:tr>
      <w:tr>
        <w:tblPrEx>
          <w:tblCellMar>
            <w:top w:w="0" w:type="dxa"/>
            <w:left w:w="108" w:type="dxa"/>
            <w:bottom w:w="0" w:type="dxa"/>
            <w:right w:w="108" w:type="dxa"/>
          </w:tblCellMar>
        </w:tblPrEx>
        <w:trPr>
          <w:trHeight w:val="397" w:hRule="atLeast"/>
        </w:trPr>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lang w:bidi="ar"/>
              </w:rPr>
            </w:pPr>
            <w:r>
              <w:rPr>
                <w:rFonts w:hint="eastAsia" w:ascii="宋体" w:hAnsi="宋体" w:cs="宋体"/>
                <w:color w:val="000000"/>
                <w:kern w:val="0"/>
                <w:lang w:bidi="ar"/>
              </w:rPr>
              <w:t>需要定期监护的药物检测指标(血常规、肝/符功能等):</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lang w:bidi="ar"/>
              </w:rPr>
            </w:pPr>
            <w:r>
              <w:rPr>
                <w:rFonts w:hint="eastAsia" w:ascii="宋体" w:hAnsi="宋体" w:cs="宋体"/>
                <w:color w:val="000000"/>
                <w:kern w:val="0"/>
                <w:lang w:bidi="ar"/>
              </w:rPr>
              <w:t>药物贮存要求及其他:</w:t>
            </w:r>
          </w:p>
        </w:tc>
      </w:tr>
      <w:tr>
        <w:tblPrEx>
          <w:tblCellMar>
            <w:top w:w="0" w:type="dxa"/>
            <w:left w:w="108" w:type="dxa"/>
            <w:bottom w:w="0" w:type="dxa"/>
            <w:right w:w="108" w:type="dxa"/>
          </w:tblCellMar>
        </w:tblPrEx>
        <w:trPr>
          <w:trHeight w:val="397" w:hRule="atLeast"/>
        </w:trPr>
        <w:tc>
          <w:tcPr>
            <w:tcW w:w="1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rPr>
            </w:pPr>
            <w:r>
              <w:rPr>
                <w:rFonts w:ascii="宋体" w:hAnsi="宋体" w:cs="宋体"/>
                <w:color w:val="000000"/>
                <w:kern w:val="0"/>
                <w:lang w:bidi="ar"/>
              </w:rPr>
              <w:t>E.</w:t>
            </w:r>
            <w:r>
              <w:rPr>
                <w:rFonts w:hint="eastAsia" w:ascii="宋体" w:hAnsi="宋体" w:cs="宋体"/>
                <w:color w:val="000000"/>
                <w:kern w:val="0"/>
                <w:lang w:bidi="ar"/>
              </w:rPr>
              <w:t>5 健康指导</w:t>
            </w:r>
          </w:p>
        </w:tc>
        <w:tc>
          <w:tcPr>
            <w:tcW w:w="125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0"/>
                <w:szCs w:val="20"/>
              </w:rPr>
            </w:pPr>
          </w:p>
        </w:tc>
      </w:tr>
    </w:tbl>
    <w:p>
      <w:pPr>
        <w:pStyle w:val="56"/>
        <w:ind w:firstLine="420"/>
      </w:pPr>
    </w:p>
    <w:p>
      <w:pPr>
        <w:pStyle w:val="56"/>
        <w:ind w:firstLine="420"/>
      </w:pPr>
    </w:p>
    <w:p>
      <w:pPr>
        <w:pStyle w:val="56"/>
        <w:ind w:firstLine="420"/>
      </w:pPr>
    </w:p>
    <w:p>
      <w:pPr>
        <w:pStyle w:val="56"/>
        <w:ind w:firstLine="420"/>
      </w:pPr>
    </w:p>
    <w:p>
      <w:pPr>
        <w:pStyle w:val="56"/>
        <w:ind w:firstLine="0" w:firstLineChars="0"/>
        <w:sectPr>
          <w:pgSz w:w="11906" w:h="16838"/>
          <w:pgMar w:top="1928" w:right="1134" w:bottom="1134" w:left="1134" w:header="1418" w:footer="1134" w:gutter="284"/>
          <w:cols w:space="425" w:num="1"/>
          <w:formProt w:val="0"/>
          <w:docGrid w:linePitch="312" w:charSpace="0"/>
        </w:sectPr>
      </w:pPr>
    </w:p>
    <w:p>
      <w:pPr>
        <w:pStyle w:val="198"/>
        <w:rPr>
          <w:rFonts w:hint="eastAsia"/>
          <w:vanish w:val="0"/>
        </w:rPr>
      </w:pPr>
    </w:p>
    <w:p>
      <w:pPr>
        <w:pStyle w:val="199"/>
        <w:rPr>
          <w:rFonts w:hint="eastAsia"/>
          <w:vanish w:val="0"/>
        </w:rPr>
      </w:pPr>
    </w:p>
    <w:p>
      <w:pPr>
        <w:pStyle w:val="76"/>
        <w:spacing w:after="120"/>
        <w:rPr>
          <w:kern w:val="21"/>
        </w:rPr>
      </w:pPr>
      <w:r>
        <w:br w:type="textWrapping"/>
      </w:r>
      <w:bookmarkStart w:id="133" w:name="_Toc147921963"/>
      <w:bookmarkStart w:id="134" w:name="_Toc147914520"/>
      <w:r>
        <w:rPr>
          <w:rFonts w:hint="eastAsia"/>
        </w:rPr>
        <w:t>（规范性）</w:t>
      </w:r>
      <w:r>
        <w:br w:type="textWrapping"/>
      </w:r>
      <w:r>
        <w:rPr>
          <w:rFonts w:hint="eastAsia"/>
          <w:kern w:val="21"/>
        </w:rPr>
        <w:t>患者随访记录表</w:t>
      </w:r>
      <w:bookmarkEnd w:id="133"/>
      <w:bookmarkEnd w:id="134"/>
    </w:p>
    <w:p>
      <w:pPr>
        <w:pStyle w:val="56"/>
        <w:ind w:firstLine="420"/>
        <w:rPr>
          <w:rFonts w:hint="eastAsia"/>
        </w:rPr>
      </w:pPr>
      <w:r>
        <w:rPr>
          <w:rFonts w:hint="eastAsia"/>
        </w:rPr>
        <w:t>患者随访记录表见表F</w:t>
      </w:r>
      <w:r>
        <w:t>.1</w:t>
      </w:r>
    </w:p>
    <w:p>
      <w:pPr>
        <w:pStyle w:val="77"/>
        <w:spacing w:before="120" w:after="120"/>
        <w:rPr>
          <w:rFonts w:hint="eastAsia"/>
        </w:rPr>
      </w:pPr>
      <w:r>
        <w:rPr>
          <w:rFonts w:hint="eastAsia"/>
        </w:rPr>
        <w:t>患者随访记录表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567"/>
        <w:gridCol w:w="472"/>
        <w:gridCol w:w="520"/>
        <w:gridCol w:w="382"/>
        <w:gridCol w:w="292"/>
        <w:gridCol w:w="1027"/>
        <w:gridCol w:w="725"/>
        <w:gridCol w:w="409"/>
        <w:gridCol w:w="1343"/>
        <w:gridCol w:w="292"/>
        <w:gridCol w:w="876"/>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vAlign w:val="center"/>
          </w:tcPr>
          <w:p>
            <w:pPr>
              <w:pStyle w:val="56"/>
              <w:ind w:firstLine="0" w:firstLineChars="0"/>
              <w:jc w:val="left"/>
              <w:rPr>
                <w:rFonts w:hint="eastAsia"/>
              </w:rPr>
            </w:pPr>
            <w:r>
              <w:rPr>
                <w:rFonts w:hint="eastAsia"/>
                <w:b/>
                <w:bCs/>
              </w:rPr>
              <w:t>姓名</w:t>
            </w:r>
          </w:p>
        </w:tc>
        <w:tc>
          <w:tcPr>
            <w:tcW w:w="1039" w:type="dxa"/>
            <w:gridSpan w:val="2"/>
            <w:vAlign w:val="center"/>
          </w:tcPr>
          <w:p>
            <w:pPr>
              <w:pStyle w:val="56"/>
              <w:ind w:firstLine="0" w:firstLineChars="0"/>
              <w:rPr>
                <w:rFonts w:hint="eastAsia"/>
              </w:rPr>
            </w:pPr>
          </w:p>
        </w:tc>
        <w:tc>
          <w:tcPr>
            <w:tcW w:w="1194" w:type="dxa"/>
            <w:gridSpan w:val="3"/>
            <w:vAlign w:val="center"/>
          </w:tcPr>
          <w:p>
            <w:pPr>
              <w:pStyle w:val="56"/>
              <w:ind w:firstLine="0" w:firstLineChars="0"/>
              <w:jc w:val="left"/>
              <w:rPr>
                <w:rFonts w:hint="eastAsia"/>
              </w:rPr>
            </w:pPr>
            <w:r>
              <w:rPr>
                <w:rFonts w:hint="eastAsia"/>
                <w:b/>
                <w:bCs/>
              </w:rPr>
              <w:t>年龄</w:t>
            </w:r>
          </w:p>
        </w:tc>
        <w:tc>
          <w:tcPr>
            <w:tcW w:w="1027" w:type="dxa"/>
            <w:vAlign w:val="center"/>
          </w:tcPr>
          <w:p>
            <w:pPr>
              <w:pStyle w:val="56"/>
              <w:ind w:firstLine="0" w:firstLineChars="0"/>
              <w:rPr>
                <w:rFonts w:hint="eastAsia"/>
              </w:rPr>
            </w:pPr>
          </w:p>
        </w:tc>
        <w:tc>
          <w:tcPr>
            <w:tcW w:w="1134" w:type="dxa"/>
            <w:gridSpan w:val="2"/>
            <w:vAlign w:val="center"/>
          </w:tcPr>
          <w:p>
            <w:pPr>
              <w:pStyle w:val="56"/>
              <w:ind w:firstLine="0" w:firstLineChars="0"/>
              <w:jc w:val="left"/>
              <w:rPr>
                <w:rFonts w:hint="eastAsia"/>
              </w:rPr>
            </w:pPr>
            <w:r>
              <w:rPr>
                <w:rFonts w:hint="eastAsia"/>
                <w:b/>
                <w:bCs/>
              </w:rPr>
              <w:t>性别</w:t>
            </w:r>
          </w:p>
        </w:tc>
        <w:tc>
          <w:tcPr>
            <w:tcW w:w="1343" w:type="dxa"/>
            <w:vAlign w:val="center"/>
          </w:tcPr>
          <w:p>
            <w:pPr>
              <w:pStyle w:val="56"/>
              <w:ind w:firstLine="0" w:firstLineChars="0"/>
              <w:rPr>
                <w:rFonts w:hint="eastAsia"/>
              </w:rPr>
            </w:pPr>
            <w:r>
              <w:rPr>
                <w:rStyle w:val="231"/>
                <w:rFonts w:hint="default"/>
                <w:sz w:val="21"/>
                <w:szCs w:val="21"/>
                <w:lang w:bidi="ar"/>
              </w:rPr>
              <w:t>□</w:t>
            </w:r>
            <w:r>
              <w:rPr>
                <w:rStyle w:val="231"/>
                <w:kern w:val="2"/>
                <w:sz w:val="21"/>
                <w:szCs w:val="21"/>
              </w:rPr>
              <w:t>男</w:t>
            </w:r>
            <w:r>
              <w:rPr>
                <w:rFonts w:hint="eastAsia" w:hAnsi="宋体" w:cs="宋体"/>
                <w:color w:val="000000"/>
                <w:sz w:val="24"/>
                <w:szCs w:val="24"/>
                <w:lang w:bidi="ar"/>
              </w:rPr>
              <w:t xml:space="preserve"> </w:t>
            </w:r>
            <w:r>
              <w:rPr>
                <w:rStyle w:val="231"/>
                <w:rFonts w:hint="default"/>
                <w:sz w:val="21"/>
                <w:szCs w:val="21"/>
                <w:lang w:bidi="ar"/>
              </w:rPr>
              <w:t>□</w:t>
            </w:r>
            <w:r>
              <w:rPr>
                <w:rStyle w:val="231"/>
                <w:kern w:val="2"/>
                <w:sz w:val="21"/>
                <w:szCs w:val="21"/>
              </w:rPr>
              <w:t>女</w:t>
            </w:r>
          </w:p>
        </w:tc>
        <w:tc>
          <w:tcPr>
            <w:tcW w:w="1168" w:type="dxa"/>
            <w:gridSpan w:val="2"/>
            <w:vAlign w:val="center"/>
          </w:tcPr>
          <w:p>
            <w:pPr>
              <w:pStyle w:val="56"/>
              <w:ind w:firstLine="0" w:firstLineChars="0"/>
              <w:jc w:val="left"/>
              <w:rPr>
                <w:rFonts w:hint="eastAsia"/>
              </w:rPr>
            </w:pPr>
            <w:r>
              <w:rPr>
                <w:rFonts w:hint="eastAsia"/>
                <w:b/>
                <w:bCs/>
              </w:rPr>
              <w:t>随访时间</w:t>
            </w:r>
          </w:p>
        </w:tc>
        <w:tc>
          <w:tcPr>
            <w:tcW w:w="1168" w:type="dxa"/>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jc w:val="left"/>
              <w:rPr>
                <w:rFonts w:hint="eastAsia"/>
              </w:rPr>
            </w:pPr>
            <w:r>
              <w:rPr>
                <w:rFonts w:hint="eastAsia"/>
                <w:b/>
                <w:bCs/>
              </w:rPr>
              <w:t>临床诊断</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30" w:type="dxa"/>
            <w:gridSpan w:val="4"/>
            <w:vAlign w:val="center"/>
          </w:tcPr>
          <w:p>
            <w:pPr>
              <w:pStyle w:val="56"/>
              <w:ind w:firstLine="0" w:firstLineChars="0"/>
              <w:jc w:val="left"/>
              <w:rPr>
                <w:rFonts w:hint="eastAsia"/>
              </w:rPr>
            </w:pPr>
            <w:r>
              <w:rPr>
                <w:rFonts w:hint="eastAsia"/>
                <w:b/>
                <w:bCs/>
              </w:rPr>
              <w:t>是否掌掘药品正确使用方法</w:t>
            </w:r>
          </w:p>
        </w:tc>
        <w:tc>
          <w:tcPr>
            <w:tcW w:w="1701" w:type="dxa"/>
            <w:gridSpan w:val="3"/>
            <w:vAlign w:val="center"/>
          </w:tcPr>
          <w:p>
            <w:pPr>
              <w:pStyle w:val="56"/>
              <w:ind w:firstLine="0" w:firstLineChars="0"/>
              <w:rPr>
                <w:rFonts w:hint="eastAsia"/>
              </w:rPr>
            </w:pPr>
            <w:r>
              <w:rPr>
                <w:rStyle w:val="231"/>
                <w:rFonts w:hint="default"/>
                <w:sz w:val="21"/>
                <w:szCs w:val="21"/>
                <w:lang w:bidi="ar"/>
              </w:rPr>
              <w:t>□</w:t>
            </w:r>
            <w:r>
              <w:rPr>
                <w:rStyle w:val="231"/>
                <w:kern w:val="2"/>
                <w:sz w:val="21"/>
                <w:szCs w:val="21"/>
              </w:rPr>
              <w:t>是</w:t>
            </w:r>
            <w:r>
              <w:rPr>
                <w:rFonts w:hint="eastAsia" w:hAnsi="宋体" w:cs="宋体"/>
                <w:color w:val="000000"/>
                <w:sz w:val="24"/>
                <w:szCs w:val="24"/>
                <w:lang w:bidi="ar"/>
              </w:rPr>
              <w:t xml:space="preserve"> </w:t>
            </w:r>
            <w:r>
              <w:rPr>
                <w:rStyle w:val="231"/>
                <w:rFonts w:hint="default"/>
                <w:sz w:val="21"/>
                <w:szCs w:val="21"/>
                <w:lang w:bidi="ar"/>
              </w:rPr>
              <w:t>□</w:t>
            </w:r>
            <w:r>
              <w:rPr>
                <w:rStyle w:val="231"/>
                <w:kern w:val="2"/>
                <w:sz w:val="21"/>
                <w:szCs w:val="21"/>
              </w:rPr>
              <w:t>否</w:t>
            </w:r>
          </w:p>
        </w:tc>
        <w:tc>
          <w:tcPr>
            <w:tcW w:w="2477" w:type="dxa"/>
            <w:gridSpan w:val="3"/>
            <w:vAlign w:val="center"/>
          </w:tcPr>
          <w:p>
            <w:pPr>
              <w:pStyle w:val="56"/>
              <w:ind w:firstLine="0" w:firstLineChars="0"/>
              <w:jc w:val="left"/>
              <w:rPr>
                <w:rFonts w:hint="eastAsia"/>
              </w:rPr>
            </w:pPr>
            <w:r>
              <w:rPr>
                <w:rFonts w:hint="eastAsia"/>
                <w:b/>
                <w:bCs/>
              </w:rPr>
              <w:t>药物不良反应</w:t>
            </w:r>
          </w:p>
        </w:tc>
        <w:tc>
          <w:tcPr>
            <w:tcW w:w="2336" w:type="dxa"/>
            <w:gridSpan w:val="3"/>
            <w:vAlign w:val="center"/>
          </w:tcPr>
          <w:p>
            <w:pPr>
              <w:pStyle w:val="56"/>
              <w:ind w:firstLine="0" w:firstLineChars="0"/>
              <w:rPr>
                <w:rFonts w:hint="eastAsia"/>
              </w:rPr>
            </w:pPr>
            <w:r>
              <w:rPr>
                <w:rStyle w:val="231"/>
                <w:rFonts w:hint="default"/>
                <w:sz w:val="21"/>
                <w:szCs w:val="21"/>
                <w:lang w:bidi="ar"/>
              </w:rPr>
              <w:t>□</w:t>
            </w:r>
            <w:r>
              <w:rPr>
                <w:rStyle w:val="231"/>
                <w:kern w:val="2"/>
                <w:sz w:val="21"/>
                <w:szCs w:val="21"/>
              </w:rPr>
              <w:t>无</w:t>
            </w:r>
            <w:r>
              <w:rPr>
                <w:rFonts w:hint="eastAsia" w:hAnsi="宋体" w:cs="宋体"/>
                <w:color w:val="000000"/>
                <w:sz w:val="24"/>
                <w:szCs w:val="24"/>
                <w:lang w:bidi="ar"/>
              </w:rPr>
              <w:t xml:space="preserve"> </w:t>
            </w:r>
            <w:r>
              <w:rPr>
                <w:rStyle w:val="231"/>
                <w:rFonts w:hint="default"/>
                <w:sz w:val="21"/>
                <w:szCs w:val="21"/>
                <w:lang w:bidi="ar"/>
              </w:rPr>
              <w:t>□</w:t>
            </w:r>
            <w:r>
              <w:rPr>
                <w:rStyle w:val="231"/>
                <w:kern w:val="2"/>
                <w:sz w:val="21"/>
                <w:szCs w:val="21"/>
              </w:rPr>
              <w:t>有，处理措施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4" w:type="dxa"/>
            <w:gridSpan w:val="13"/>
            <w:vAlign w:val="center"/>
          </w:tcPr>
          <w:p>
            <w:pPr>
              <w:pStyle w:val="56"/>
              <w:ind w:firstLine="0" w:firstLineChars="0"/>
              <w:rPr>
                <w:rStyle w:val="231"/>
                <w:kern w:val="2"/>
                <w:sz w:val="21"/>
                <w:szCs w:val="21"/>
              </w:rPr>
            </w:pPr>
            <w:r>
              <w:rPr>
                <w:rFonts w:hint="eastAsia"/>
                <w:b/>
                <w:bCs/>
              </w:rPr>
              <w:t>依从性评估:</w:t>
            </w:r>
            <w:r>
              <w:rPr>
                <w:rStyle w:val="231"/>
                <w:kern w:val="2"/>
                <w:sz w:val="21"/>
                <w:szCs w:val="21"/>
              </w:rPr>
              <w:br w:type="textWrapping"/>
            </w:r>
            <w:r>
              <w:rPr>
                <w:rStyle w:val="231"/>
                <w:kern w:val="2"/>
                <w:sz w:val="21"/>
                <w:szCs w:val="21"/>
              </w:rPr>
              <w:t xml:space="preserve">E.1.1你是否有时忘记服药? </w:t>
            </w:r>
            <w:r>
              <w:rPr>
                <w:rStyle w:val="231"/>
                <w:rFonts w:hint="default"/>
                <w:sz w:val="21"/>
                <w:szCs w:val="21"/>
                <w:lang w:bidi="ar"/>
              </w:rPr>
              <w:t>□</w:t>
            </w:r>
            <w:r>
              <w:rPr>
                <w:rStyle w:val="231"/>
                <w:kern w:val="2"/>
                <w:sz w:val="21"/>
                <w:szCs w:val="21"/>
              </w:rPr>
              <w:t xml:space="preserve">是 </w:t>
            </w:r>
            <w:r>
              <w:rPr>
                <w:rStyle w:val="231"/>
                <w:rFonts w:hint="default"/>
                <w:sz w:val="21"/>
                <w:szCs w:val="21"/>
                <w:lang w:bidi="ar"/>
              </w:rPr>
              <w:t>□</w:t>
            </w:r>
            <w:r>
              <w:rPr>
                <w:rStyle w:val="231"/>
                <w:kern w:val="2"/>
                <w:sz w:val="21"/>
                <w:szCs w:val="21"/>
              </w:rPr>
              <w:t>否</w:t>
            </w:r>
            <w:r>
              <w:rPr>
                <w:rStyle w:val="231"/>
                <w:kern w:val="2"/>
                <w:sz w:val="21"/>
                <w:szCs w:val="21"/>
              </w:rPr>
              <w:br w:type="textWrapping"/>
            </w:r>
            <w:r>
              <w:rPr>
                <w:rStyle w:val="231"/>
                <w:kern w:val="2"/>
                <w:sz w:val="21"/>
                <w:szCs w:val="21"/>
              </w:rPr>
              <w:t>E.1.2当你自觉症状改善时，是否曾停止服药?</w:t>
            </w:r>
            <w:r>
              <w:rPr>
                <w:rStyle w:val="34"/>
                <w:sz w:val="21"/>
                <w:szCs w:val="21"/>
                <w:lang w:bidi="ar"/>
              </w:rPr>
              <w:t xml:space="preserve"> </w:t>
            </w:r>
            <w:r>
              <w:rPr>
                <w:rStyle w:val="231"/>
                <w:rFonts w:hint="default"/>
                <w:sz w:val="21"/>
                <w:szCs w:val="21"/>
                <w:lang w:bidi="ar"/>
              </w:rPr>
              <w:t>□</w:t>
            </w:r>
            <w:r>
              <w:rPr>
                <w:rStyle w:val="231"/>
                <w:kern w:val="2"/>
                <w:sz w:val="21"/>
                <w:szCs w:val="21"/>
              </w:rPr>
              <w:t xml:space="preserve">是 </w:t>
            </w:r>
            <w:r>
              <w:rPr>
                <w:rStyle w:val="231"/>
                <w:rFonts w:hint="default"/>
                <w:sz w:val="21"/>
                <w:szCs w:val="21"/>
                <w:lang w:bidi="ar"/>
              </w:rPr>
              <w:t>□</w:t>
            </w:r>
            <w:r>
              <w:rPr>
                <w:rStyle w:val="231"/>
                <w:kern w:val="2"/>
                <w:sz w:val="21"/>
                <w:szCs w:val="21"/>
              </w:rPr>
              <w:t>否</w:t>
            </w:r>
            <w:r>
              <w:rPr>
                <w:rStyle w:val="231"/>
                <w:kern w:val="2"/>
                <w:sz w:val="21"/>
                <w:szCs w:val="21"/>
              </w:rPr>
              <w:br w:type="textWrapping"/>
            </w:r>
            <w:r>
              <w:rPr>
                <w:rStyle w:val="231"/>
                <w:kern w:val="2"/>
                <w:sz w:val="21"/>
                <w:szCs w:val="21"/>
              </w:rPr>
              <w:t xml:space="preserve">E.1.3.当你服药自觉症状更坏时，是否可以自行增加药物剂量或更换药物? </w:t>
            </w:r>
            <w:r>
              <w:rPr>
                <w:rStyle w:val="231"/>
                <w:rFonts w:hint="default"/>
                <w:sz w:val="21"/>
                <w:szCs w:val="21"/>
                <w:lang w:bidi="ar"/>
              </w:rPr>
              <w:t>□</w:t>
            </w:r>
            <w:r>
              <w:rPr>
                <w:rStyle w:val="231"/>
                <w:kern w:val="2"/>
                <w:sz w:val="21"/>
                <w:szCs w:val="21"/>
              </w:rPr>
              <w:t xml:space="preserve">是 </w:t>
            </w:r>
            <w:r>
              <w:rPr>
                <w:rStyle w:val="231"/>
                <w:rFonts w:hint="default"/>
                <w:sz w:val="21"/>
                <w:szCs w:val="21"/>
                <w:lang w:bidi="ar"/>
              </w:rPr>
              <w:t>□</w:t>
            </w:r>
            <w:r>
              <w:rPr>
                <w:rStyle w:val="231"/>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jc w:val="left"/>
              <w:rPr>
                <w:rFonts w:hint="eastAsia"/>
              </w:rPr>
            </w:pPr>
            <w:r>
              <w:rPr>
                <w:rFonts w:hint="eastAsia"/>
                <w:b/>
                <w:bCs/>
              </w:rPr>
              <w:t>复查情况</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jc w:val="left"/>
              <w:rPr>
                <w:rFonts w:hint="eastAsia"/>
              </w:rPr>
            </w:pPr>
            <w:r>
              <w:rPr>
                <w:rFonts w:hint="eastAsia"/>
                <w:b/>
                <w:bCs/>
              </w:rPr>
              <w:t>用药疗效评估</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rPr>
                <w:rFonts w:hint="eastAsia"/>
                <w:b/>
                <w:bCs/>
              </w:rPr>
            </w:pPr>
            <w:r>
              <w:rPr>
                <w:rStyle w:val="231"/>
                <w:b/>
                <w:bCs/>
                <w:kern w:val="2"/>
                <w:sz w:val="21"/>
                <w:szCs w:val="21"/>
              </w:rPr>
              <w:t>用药安全性评估</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rPr>
                <w:rFonts w:hint="eastAsia"/>
                <w:b/>
                <w:bCs/>
              </w:rPr>
            </w:pPr>
            <w:r>
              <w:rPr>
                <w:rStyle w:val="231"/>
                <w:b/>
                <w:bCs/>
                <w:kern w:val="2"/>
                <w:sz w:val="21"/>
                <w:szCs w:val="21"/>
              </w:rPr>
              <w:t>经济性评估</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rPr>
                <w:rFonts w:hint="eastAsia"/>
                <w:b/>
                <w:bCs/>
              </w:rPr>
            </w:pPr>
            <w:r>
              <w:rPr>
                <w:rStyle w:val="231"/>
                <w:b/>
                <w:bCs/>
                <w:kern w:val="2"/>
                <w:sz w:val="21"/>
                <w:szCs w:val="21"/>
              </w:rPr>
              <w:t>患者感受与需求</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rPr>
                <w:rFonts w:hint="eastAsia"/>
                <w:b/>
                <w:bCs/>
              </w:rPr>
            </w:pPr>
            <w:r>
              <w:rPr>
                <w:rStyle w:val="231"/>
                <w:b/>
                <w:bCs/>
                <w:kern w:val="2"/>
                <w:sz w:val="21"/>
                <w:szCs w:val="21"/>
              </w:rPr>
              <w:t>干预管理</w:t>
            </w:r>
          </w:p>
        </w:tc>
        <w:tc>
          <w:tcPr>
            <w:tcW w:w="7506" w:type="dxa"/>
            <w:gridSpan w:val="11"/>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8" w:type="dxa"/>
            <w:gridSpan w:val="2"/>
            <w:vAlign w:val="center"/>
          </w:tcPr>
          <w:p>
            <w:pPr>
              <w:pStyle w:val="56"/>
              <w:ind w:firstLine="0" w:firstLineChars="0"/>
              <w:rPr>
                <w:rFonts w:hint="eastAsia" w:hAnsi="宋体" w:cs="宋体"/>
                <w:b/>
                <w:bCs/>
                <w:color w:val="000000"/>
                <w:sz w:val="24"/>
                <w:szCs w:val="24"/>
                <w:lang w:bidi="ar"/>
              </w:rPr>
            </w:pPr>
            <w:r>
              <w:rPr>
                <w:rStyle w:val="231"/>
                <w:b/>
                <w:bCs/>
                <w:kern w:val="2"/>
                <w:sz w:val="21"/>
                <w:szCs w:val="21"/>
              </w:rPr>
              <w:t xml:space="preserve">下次随访计划与时间 </w:t>
            </w:r>
            <w:r>
              <w:rPr>
                <w:rFonts w:hint="eastAsia" w:hAnsi="宋体" w:cs="宋体"/>
                <w:b/>
                <w:bCs/>
                <w:color w:val="000000"/>
                <w:sz w:val="24"/>
                <w:szCs w:val="24"/>
                <w:lang w:bidi="ar"/>
              </w:rPr>
              <w:t xml:space="preserve"> </w:t>
            </w:r>
          </w:p>
        </w:tc>
        <w:tc>
          <w:tcPr>
            <w:tcW w:w="1374" w:type="dxa"/>
            <w:gridSpan w:val="3"/>
            <w:vAlign w:val="center"/>
          </w:tcPr>
          <w:p>
            <w:pPr>
              <w:pStyle w:val="56"/>
              <w:ind w:firstLine="0" w:firstLineChars="0"/>
              <w:rPr>
                <w:rFonts w:hint="eastAsia"/>
              </w:rPr>
            </w:pPr>
          </w:p>
        </w:tc>
        <w:tc>
          <w:tcPr>
            <w:tcW w:w="2044" w:type="dxa"/>
            <w:gridSpan w:val="3"/>
            <w:vAlign w:val="center"/>
          </w:tcPr>
          <w:p>
            <w:pPr>
              <w:pStyle w:val="56"/>
              <w:ind w:firstLine="0" w:firstLineChars="0"/>
              <w:rPr>
                <w:rFonts w:hint="eastAsia"/>
              </w:rPr>
            </w:pPr>
          </w:p>
        </w:tc>
        <w:tc>
          <w:tcPr>
            <w:tcW w:w="2044" w:type="dxa"/>
            <w:gridSpan w:val="3"/>
            <w:vAlign w:val="center"/>
          </w:tcPr>
          <w:p>
            <w:pPr>
              <w:pStyle w:val="56"/>
              <w:ind w:firstLine="0" w:firstLineChars="0"/>
              <w:rPr>
                <w:rFonts w:hint="eastAsia"/>
                <w:b/>
                <w:bCs/>
              </w:rPr>
            </w:pPr>
            <w:r>
              <w:rPr>
                <w:rStyle w:val="231"/>
                <w:b/>
                <w:bCs/>
                <w:kern w:val="2"/>
                <w:sz w:val="21"/>
                <w:szCs w:val="21"/>
              </w:rPr>
              <w:t>随访药师</w:t>
            </w:r>
          </w:p>
        </w:tc>
        <w:tc>
          <w:tcPr>
            <w:tcW w:w="2044" w:type="dxa"/>
            <w:gridSpan w:val="2"/>
            <w:vAlign w:val="center"/>
          </w:tcPr>
          <w:p>
            <w:pPr>
              <w:pStyle w:val="56"/>
              <w:ind w:firstLine="0" w:firstLineChars="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4" w:type="dxa"/>
            <w:gridSpan w:val="13"/>
            <w:vAlign w:val="center"/>
          </w:tcPr>
          <w:p>
            <w:pPr>
              <w:pStyle w:val="56"/>
              <w:ind w:firstLine="0" w:firstLineChars="0"/>
              <w:rPr>
                <w:rFonts w:hint="eastAsia"/>
              </w:rPr>
            </w:pPr>
            <w:r>
              <w:rPr>
                <w:rStyle w:val="231"/>
                <w:kern w:val="2"/>
                <w:sz w:val="21"/>
                <w:szCs w:val="21"/>
              </w:rPr>
              <w:t>注1:复查情况可填写实验室检在指标，病理学检查等。</w:t>
            </w:r>
            <w:r>
              <w:rPr>
                <w:rStyle w:val="231"/>
                <w:kern w:val="2"/>
                <w:sz w:val="21"/>
                <w:szCs w:val="21"/>
              </w:rPr>
              <w:br w:type="textWrapping"/>
            </w:r>
            <w:r>
              <w:rPr>
                <w:rStyle w:val="231"/>
                <w:kern w:val="2"/>
                <w:sz w:val="21"/>
                <w:szCs w:val="21"/>
              </w:rPr>
              <w:t>注2;如有用药改变情况请说明，并填写到信息收集表中。</w:t>
            </w:r>
          </w:p>
        </w:tc>
      </w:tr>
    </w:tbl>
    <w:p>
      <w:pPr>
        <w:pStyle w:val="56"/>
        <w:ind w:firstLine="420"/>
        <w:rPr>
          <w:rFonts w:hint="eastAsia"/>
        </w:rPr>
      </w:pPr>
    </w:p>
    <w:p>
      <w:pPr>
        <w:pStyle w:val="56"/>
        <w:ind w:firstLine="420"/>
        <w:rPr>
          <w:rFonts w:hint="eastAsia"/>
        </w:rPr>
      </w:pPr>
    </w:p>
    <w:p>
      <w:pPr>
        <w:pStyle w:val="56"/>
        <w:ind w:firstLine="420"/>
        <w:rPr>
          <w:rFonts w:hint="eastAsia"/>
        </w:rPr>
      </w:pPr>
    </w:p>
    <w:p>
      <w:pPr>
        <w:pStyle w:val="56"/>
        <w:ind w:firstLine="420"/>
        <w:rPr>
          <w:rFonts w:hint="eastAsia"/>
        </w:rPr>
      </w:pPr>
    </w:p>
    <w:bookmarkEnd w:id="122"/>
    <w:p>
      <w:pPr>
        <w:pStyle w:val="56"/>
        <w:ind w:firstLine="0" w:firstLineChars="0"/>
        <w:rPr>
          <w:rFonts w:hint="eastAsia"/>
        </w:rPr>
      </w:pPr>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T/XXX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dit="forms" w:enforcement="1" w:cryptProviderType="rsaAES" w:cryptAlgorithmClass="hash" w:cryptAlgorithmType="typeAny" w:cryptAlgorithmSid="14" w:cryptSpinCount="100000" w:hash="2p25eX0rVJBRLCnI64kMG/hgQatCsSlE4N6EGS4uZpW8MoDCjEiaPZk+aPs3kqFx8Pt/Xr2bain8+qJsR9vNVQ==" w:salt="iSlxrEVCJHpmsrzDOLpgy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RiMGIzY2ZlZTUwYjc0NmI3NDgxMDBhNGQzYTRkMDgifQ=="/>
  </w:docVars>
  <w:rsids>
    <w:rsidRoot w:val="00C5740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44BF"/>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6E0F"/>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B8"/>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9BA"/>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1A3A"/>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2F69"/>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4B81"/>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E7A46"/>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431F"/>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390"/>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0E94"/>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2D4"/>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5C06"/>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57407"/>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628"/>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18CE"/>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1863"/>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0CC1"/>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3D816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0" w:name="toc 8"/>
    <w:lsdException w:uiPriority="0" w:name="toc 9"/>
    <w:lsdException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uiPriority w:val="39"/>
    <w:pPr>
      <w:tabs>
        <w:tab w:val="right" w:leader="dot" w:pos="9344"/>
      </w:tabs>
      <w:spacing w:line="300" w:lineRule="exact"/>
      <w:ind w:left="1259"/>
    </w:pPr>
    <w:rPr>
      <w:rFonts w:ascii="宋体"/>
    </w:rPr>
  </w:style>
  <w:style w:type="paragraph" w:styleId="12">
    <w:name w:val="Normal Indent"/>
    <w:basedOn w:val="1"/>
    <w:uiPriority w:val="0"/>
    <w:pPr>
      <w:ind w:firstLine="420"/>
    </w:pPr>
  </w:style>
  <w:style w:type="paragraph" w:styleId="13">
    <w:name w:val="Body Text"/>
    <w:basedOn w:val="1"/>
    <w:link w:val="86"/>
    <w:uiPriority w:val="0"/>
    <w:pPr>
      <w:spacing w:after="120"/>
    </w:pPr>
  </w:style>
  <w:style w:type="paragraph" w:styleId="14">
    <w:name w:val="toc 5"/>
    <w:basedOn w:val="1"/>
    <w:next w:val="1"/>
    <w:unhideWhenUsed/>
    <w:uiPriority w:val="39"/>
    <w:pPr>
      <w:ind w:left="839"/>
    </w:pPr>
    <w:rPr>
      <w:rFonts w:ascii="宋体"/>
    </w:rPr>
  </w:style>
  <w:style w:type="paragraph" w:styleId="15">
    <w:name w:val="toc 3"/>
    <w:basedOn w:val="1"/>
    <w:next w:val="1"/>
    <w:unhideWhenUsed/>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uiPriority w:val="39"/>
    <w:rPr>
      <w:rFonts w:ascii="宋体"/>
    </w:rPr>
  </w:style>
  <w:style w:type="paragraph" w:styleId="20">
    <w:name w:val="toc 4"/>
    <w:basedOn w:val="1"/>
    <w:next w:val="1"/>
    <w:unhideWhenUsed/>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uiPriority w:val="39"/>
    <w:pPr>
      <w:spacing w:line="300" w:lineRule="exact"/>
      <w:ind w:left="1049"/>
    </w:pPr>
    <w:rPr>
      <w:rFonts w:ascii="宋体"/>
    </w:rPr>
  </w:style>
  <w:style w:type="paragraph" w:styleId="23">
    <w:name w:val="table of figures"/>
    <w:basedOn w:val="1"/>
    <w:next w:val="1"/>
    <w:semiHidden/>
    <w:uiPriority w:val="0"/>
    <w:pPr>
      <w:adjustRightInd/>
      <w:spacing w:line="240" w:lineRule="auto"/>
      <w:jc w:val="left"/>
    </w:pPr>
    <w:rPr>
      <w:szCs w:val="24"/>
    </w:rPr>
  </w:style>
  <w:style w:type="paragraph" w:styleId="24">
    <w:name w:val="toc 2"/>
    <w:basedOn w:val="1"/>
    <w:next w:val="1"/>
    <w:unhideWhenUsed/>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uiPriority w:val="0"/>
    <w:pPr>
      <w:adjustRightInd/>
      <w:spacing w:line="240" w:lineRule="auto"/>
      <w:jc w:val="left"/>
    </w:pPr>
    <w:rPr>
      <w:bCs/>
      <w:iCs/>
    </w:rPr>
  </w:style>
  <w:style w:type="paragraph" w:customStyle="1" w:styleId="143">
    <w:name w:val="目录 31"/>
    <w:basedOn w:val="1"/>
    <w:next w:val="1"/>
    <w:semiHidden/>
    <w:uiPriority w:val="0"/>
    <w:pPr>
      <w:spacing w:line="240" w:lineRule="auto"/>
    </w:pPr>
    <w:rPr>
      <w:rFonts w:ascii="宋体" w:hAnsi="宋体"/>
      <w:iCs/>
    </w:rPr>
  </w:style>
  <w:style w:type="paragraph" w:customStyle="1" w:styleId="144">
    <w:name w:val="目录 41"/>
    <w:basedOn w:val="1"/>
    <w:next w:val="1"/>
    <w:semiHidden/>
    <w:uiPriority w:val="0"/>
    <w:pPr>
      <w:adjustRightInd/>
      <w:spacing w:line="240" w:lineRule="auto"/>
      <w:jc w:val="left"/>
    </w:pPr>
  </w:style>
  <w:style w:type="paragraph" w:customStyle="1" w:styleId="145">
    <w:name w:val="目录 51"/>
    <w:basedOn w:val="1"/>
    <w:next w:val="1"/>
    <w:semiHidden/>
    <w:uiPriority w:val="0"/>
    <w:pPr>
      <w:spacing w:line="240" w:lineRule="auto"/>
    </w:pPr>
    <w:rPr>
      <w:rFonts w:ascii="宋体" w:hAnsi="宋体"/>
    </w:rPr>
  </w:style>
  <w:style w:type="paragraph" w:customStyle="1" w:styleId="146">
    <w:name w:val="目录 61"/>
    <w:basedOn w:val="1"/>
    <w:next w:val="1"/>
    <w:semiHidden/>
    <w:uiPriority w:val="0"/>
    <w:pPr>
      <w:adjustRightInd/>
      <w:spacing w:line="240" w:lineRule="auto"/>
      <w:jc w:val="left"/>
    </w:pPr>
  </w:style>
  <w:style w:type="paragraph" w:customStyle="1" w:styleId="147">
    <w:name w:val="目录 71"/>
    <w:basedOn w:val="146"/>
    <w:semiHidden/>
    <w:uiPriority w:val="0"/>
    <w:pPr>
      <w:ind w:left="1260"/>
    </w:pPr>
  </w:style>
  <w:style w:type="paragraph" w:customStyle="1" w:styleId="148">
    <w:name w:val="目录 81"/>
    <w:basedOn w:val="147"/>
    <w:semiHidden/>
    <w:uiPriority w:val="0"/>
    <w:pPr>
      <w:ind w:left="1470"/>
    </w:pPr>
  </w:style>
  <w:style w:type="paragraph" w:customStyle="1" w:styleId="149">
    <w:name w:val="目录 91"/>
    <w:basedOn w:val="148"/>
    <w:semiHidden/>
    <w:uiPriority w:val="0"/>
    <w:pPr>
      <w:ind w:left="1680"/>
    </w:pPr>
  </w:style>
  <w:style w:type="paragraph" w:customStyle="1" w:styleId="15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uiPriority w:val="0"/>
    <w:pPr>
      <w:framePr w:wrap="around"/>
      <w:spacing w:line="0" w:lineRule="atLeast"/>
    </w:pPr>
    <w:rPr>
      <w:rFonts w:ascii="黑体" w:eastAsia="黑体"/>
      <w:b w:val="0"/>
    </w:rPr>
  </w:style>
  <w:style w:type="paragraph" w:customStyle="1" w:styleId="152">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uiPriority w:val="0"/>
    <w:pPr>
      <w:numPr>
        <w:ilvl w:val="4"/>
        <w:numId w:val="20"/>
      </w:numPr>
      <w:adjustRightInd/>
      <w:spacing w:line="240" w:lineRule="auto"/>
    </w:pPr>
    <w:rPr>
      <w:rFonts w:ascii="宋体" w:hAnsi="宋体"/>
      <w:szCs w:val="24"/>
    </w:rPr>
  </w:style>
  <w:style w:type="paragraph" w:customStyle="1" w:styleId="154">
    <w:name w:val="实施日期"/>
    <w:basedOn w:val="120"/>
    <w:uiPriority w:val="0"/>
    <w:pPr>
      <w:framePr w:hSpace="0" w:wrap="around" w:xAlign="right"/>
      <w:jc w:val="right"/>
    </w:pPr>
  </w:style>
  <w:style w:type="paragraph" w:customStyle="1" w:styleId="155">
    <w:name w:val="四级无标题条"/>
    <w:basedOn w:val="1"/>
    <w:uiPriority w:val="0"/>
    <w:pPr>
      <w:numPr>
        <w:ilvl w:val="5"/>
        <w:numId w:val="20"/>
      </w:numPr>
      <w:adjustRightInd/>
      <w:spacing w:line="240" w:lineRule="auto"/>
    </w:pPr>
    <w:rPr>
      <w:rFonts w:ascii="宋体" w:hAnsi="宋体"/>
      <w:szCs w:val="24"/>
    </w:rPr>
  </w:style>
  <w:style w:type="paragraph" w:customStyle="1" w:styleId="15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uiPriority w:val="0"/>
    <w:pPr>
      <w:jc w:val="both"/>
    </w:pPr>
    <w:rPr>
      <w:rFonts w:ascii="宋体" w:hAnsi="宋体" w:eastAsia="宋体" w:cs="Times New Roman"/>
      <w:sz w:val="21"/>
      <w:lang w:val="en-US" w:eastAsia="zh-CN" w:bidi="ar-SA"/>
    </w:rPr>
  </w:style>
  <w:style w:type="paragraph" w:customStyle="1" w:styleId="158">
    <w:name w:val="五级无标题条"/>
    <w:basedOn w:val="1"/>
    <w:uiPriority w:val="0"/>
    <w:pPr>
      <w:numPr>
        <w:ilvl w:val="6"/>
        <w:numId w:val="20"/>
      </w:numPr>
      <w:adjustRightInd/>
    </w:pPr>
    <w:rPr>
      <w:szCs w:val="24"/>
    </w:rPr>
  </w:style>
  <w:style w:type="paragraph" w:customStyle="1" w:styleId="159">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0">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uiPriority w:val="0"/>
    <w:rPr>
      <w:rFonts w:ascii="黑体" w:eastAsia="黑体"/>
      <w:spacing w:val="85"/>
      <w:w w:val="100"/>
      <w:position w:val="3"/>
      <w:sz w:val="28"/>
      <w:szCs w:val="28"/>
    </w:rPr>
  </w:style>
  <w:style w:type="character" w:customStyle="1" w:styleId="230">
    <w:name w:val="font31"/>
    <w:basedOn w:val="28"/>
    <w:qFormat/>
    <w:uiPriority w:val="0"/>
    <w:rPr>
      <w:rFonts w:hint="eastAsia" w:ascii="微软雅黑" w:hAnsi="微软雅黑" w:eastAsia="微软雅黑" w:cs="微软雅黑"/>
      <w:color w:val="000000"/>
      <w:sz w:val="24"/>
      <w:szCs w:val="24"/>
      <w:u w:val="none"/>
    </w:rPr>
  </w:style>
  <w:style w:type="character" w:customStyle="1" w:styleId="231">
    <w:name w:val="font71"/>
    <w:basedOn w:val="28"/>
    <w:qFormat/>
    <w:uiPriority w:val="0"/>
    <w:rPr>
      <w:rFonts w:hint="eastAsia" w:ascii="宋体" w:hAnsi="宋体" w:eastAsia="宋体" w:cs="宋体"/>
      <w:color w:val="000000"/>
      <w:sz w:val="24"/>
      <w:szCs w:val="24"/>
      <w:u w:val="none"/>
    </w:rPr>
  </w:style>
  <w:style w:type="character" w:customStyle="1" w:styleId="232">
    <w:name w:val="font51"/>
    <w:basedOn w:val="28"/>
    <w:qFormat/>
    <w:uiPriority w:val="0"/>
    <w:rPr>
      <w:rFonts w:hint="default" w:ascii="Wingdings" w:hAnsi="Wingdings" w:cs="Wingdings"/>
      <w:color w:val="000000"/>
      <w:sz w:val="24"/>
      <w:szCs w:val="24"/>
      <w:u w:val="none"/>
    </w:rPr>
  </w:style>
  <w:style w:type="character" w:customStyle="1" w:styleId="233">
    <w:name w:val="font21"/>
    <w:basedOn w:val="28"/>
    <w:qFormat/>
    <w:uiPriority w:val="0"/>
    <w:rPr>
      <w:rFonts w:hint="eastAsia" w:ascii="宋体" w:hAnsi="宋体" w:eastAsia="宋体" w:cs="宋体"/>
      <w:color w:val="000000"/>
      <w:sz w:val="24"/>
      <w:szCs w:val="24"/>
      <w:u w:val="none"/>
    </w:rPr>
  </w:style>
  <w:style w:type="character" w:customStyle="1" w:styleId="234">
    <w:name w:val="font41"/>
    <w:basedOn w:val="28"/>
    <w:qFormat/>
    <w:uiPriority w:val="0"/>
    <w:rPr>
      <w:rFonts w:hint="default" w:ascii="Wingdings" w:hAnsi="Wingdings" w:cs="Wingdings"/>
      <w:color w:val="000000"/>
      <w:sz w:val="24"/>
      <w:szCs w:val="24"/>
      <w:u w:val="none"/>
    </w:rPr>
  </w:style>
  <w:style w:type="character" w:customStyle="1" w:styleId="235">
    <w:name w:val="font01"/>
    <w:basedOn w:val="28"/>
    <w:qFormat/>
    <w:uiPriority w:val="0"/>
    <w:rPr>
      <w:rFonts w:hint="eastAsia" w:ascii="宋体" w:hAnsi="宋体" w:eastAsia="宋体" w:cs="宋体"/>
      <w:color w:val="000000"/>
      <w:sz w:val="18"/>
      <w:szCs w:val="18"/>
      <w:u w:val="none"/>
    </w:rPr>
  </w:style>
  <w:style w:type="character" w:customStyle="1" w:styleId="236">
    <w:name w:val="font11"/>
    <w:basedOn w:val="28"/>
    <w:qFormat/>
    <w:uiPriority w:val="0"/>
    <w:rPr>
      <w:rFonts w:hint="default" w:ascii="Wingdings" w:hAnsi="Wingdings" w:cs="Wingdings"/>
      <w:color w:val="000000"/>
      <w:sz w:val="18"/>
      <w:szCs w:val="18"/>
      <w:u w:val="none"/>
    </w:rPr>
  </w:style>
  <w:style w:type="character" w:customStyle="1" w:styleId="237">
    <w:name w:val="font81"/>
    <w:basedOn w:val="28"/>
    <w:qFormat/>
    <w:uiPriority w:val="0"/>
    <w:rPr>
      <w:rFonts w:hint="default" w:ascii="Wingdings" w:hAnsi="Wingdings" w:cs="Wingdings"/>
      <w:color w:val="000000"/>
      <w:sz w:val="24"/>
      <w:szCs w:val="24"/>
      <w:u w:val="single"/>
    </w:rPr>
  </w:style>
  <w:style w:type="character" w:customStyle="1" w:styleId="238">
    <w:name w:val="font91"/>
    <w:basedOn w:val="28"/>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11FB3D54C44451A9239ADB8E3965DD3"/>
        <w:style w:val=""/>
        <w:category>
          <w:name w:val="常规"/>
          <w:gallery w:val="placeholder"/>
        </w:category>
        <w:types>
          <w:type w:val="bbPlcHdr"/>
        </w:types>
        <w:behaviors>
          <w:behavior w:val="content"/>
        </w:behaviors>
        <w:description w:val=""/>
        <w:guid w:val="{A648480A-3078-45AD-BE5D-852AD03D84A9}"/>
      </w:docPartPr>
      <w:docPartBody>
        <w:p>
          <w:pPr>
            <w:pStyle w:val="5"/>
          </w:pPr>
          <w:r>
            <w:rPr>
              <w:rStyle w:val="4"/>
              <w:rFonts w:hint="eastAsia"/>
            </w:rPr>
            <w:t>单击或点击此处输入文字。</w:t>
          </w:r>
        </w:p>
      </w:docPartBody>
    </w:docPart>
    <w:docPart>
      <w:docPartPr>
        <w:name w:val="E77A67BD948444EB9565F71D4C06BFF9"/>
        <w:style w:val=""/>
        <w:category>
          <w:name w:val="常规"/>
          <w:gallery w:val="placeholder"/>
        </w:category>
        <w:types>
          <w:type w:val="bbPlcHdr"/>
        </w:types>
        <w:behaviors>
          <w:behavior w:val="content"/>
        </w:behaviors>
        <w:description w:val=""/>
        <w:guid w:val="{E2FFC8A7-57C1-4AC2-8AFB-0E36072187B2}"/>
      </w:docPartPr>
      <w:docPartBody>
        <w:p>
          <w:pPr>
            <w:pStyle w:val="6"/>
          </w:pPr>
          <w:r>
            <w:rPr>
              <w:rStyle w:val="4"/>
              <w:rFonts w:hint="eastAsia"/>
            </w:rPr>
            <w:t>选择一项。</w:t>
          </w:r>
        </w:p>
      </w:docPartBody>
    </w:docPart>
    <w:docPart>
      <w:docPartPr>
        <w:name w:val="02F4B5191BD14DA5A5A26E899B690741"/>
        <w:style w:val=""/>
        <w:category>
          <w:name w:val="常规"/>
          <w:gallery w:val="placeholder"/>
        </w:category>
        <w:types>
          <w:type w:val="bbPlcHdr"/>
        </w:types>
        <w:behaviors>
          <w:behavior w:val="content"/>
        </w:behaviors>
        <w:description w:val=""/>
        <w:guid w:val="{DB0097B5-676F-43D8-A1A8-749E18550E3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F64"/>
    <w:rsid w:val="00680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411FB3D54C44451A9239ADB8E3965DD3"/>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E77A67BD948444EB9565F71D4C06BFF9"/>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02F4B5191BD14DA5A5A26E899B690741"/>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17</Pages>
  <Words>6286</Words>
  <Characters>7858</Characters>
  <Lines>1309</Lines>
  <Paragraphs>1178</Paragraphs>
  <TotalTime>228</TotalTime>
  <ScaleCrop>false</ScaleCrop>
  <LinksUpToDate>false</LinksUpToDate>
  <CharactersWithSpaces>12966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2023-10-11T01:01:00Z</dcterms:created>
  <dc:creator>msc</dc:creator>
  <dc:description>&lt;config cover="true" show_menu="true" version="1.0.0" doctype="SDKXY"&gt;_x000d_
&lt;/config&gt;</dc:description>
  <cp:lastModifiedBy>天方夜谭</cp:lastModifiedBy>
  <cp:lastPrinted>2021-02-02T08:22:00Z</cp:lastPrinted>
  <dcterms:modified xsi:type="dcterms:W3CDTF">2023-10-11T08:19:49Z</dcterms:modified>
  <dc:title>团体标准</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2052-12.1.0.15712</vt:lpwstr>
  </property>
  <property fmtid="{D5CDD505-2E9C-101B-9397-08002B2CF9AE}" pid="15" name="ICV">
    <vt:lpwstr>446A1539CFF14DC98432B9351F1651D0_12</vt:lpwstr>
  </property>
</Properties>
</file>